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11" w:rsidRDefault="00632924" w:rsidP="00632924">
      <w:pPr>
        <w:jc w:val="center"/>
        <w:rPr>
          <w:rFonts w:hint="eastAsia"/>
          <w:b/>
          <w:color w:val="000000" w:themeColor="text1"/>
        </w:rPr>
      </w:pPr>
      <w:r w:rsidRPr="00632924">
        <w:rPr>
          <w:b/>
          <w:color w:val="000000" w:themeColor="text1"/>
        </w:rPr>
        <w:t>八、保险公司报表附注</w:t>
      </w:r>
    </w:p>
    <w:p w:rsidR="00632924" w:rsidRPr="00632924" w:rsidRDefault="00632924" w:rsidP="00632924">
      <w:pPr>
        <w:jc w:val="center"/>
        <w:rPr>
          <w:rFonts w:hint="eastAsia"/>
          <w:b/>
          <w:color w:val="000000" w:themeColor="text1"/>
        </w:rPr>
      </w:pPr>
    </w:p>
    <w:p w:rsidR="00632924" w:rsidRPr="00632924" w:rsidRDefault="00632924" w:rsidP="00632924">
      <w:pPr>
        <w:rPr>
          <w:color w:val="000000" w:themeColor="text1"/>
        </w:rPr>
      </w:pPr>
      <w:r w:rsidRPr="00632924">
        <w:rPr>
          <w:color w:val="000000" w:themeColor="text1"/>
        </w:rPr>
        <w:t>保险公司应当按照规定披露附注信息，主要包括下列内容：</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（一）保险公司的基本情况</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（二）财务报表的编制基础</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（三）遵循企业会计准则的声明</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（四）重要会计政策和会计估计</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（五）会计政策和会计估计变更以及差错更正的说明</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以上（一）至（五）项，应当比照一般企业进行披露。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（六）报表重要项目的说明</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1</w:t>
      </w:r>
      <w:r w:rsidRPr="00632924">
        <w:rPr>
          <w:color w:val="000000" w:themeColor="text1"/>
        </w:rPr>
        <w:t>．应收保费账</w:t>
      </w:r>
      <w:proofErr w:type="gramStart"/>
      <w:r w:rsidRPr="00632924">
        <w:rPr>
          <w:color w:val="000000" w:themeColor="text1"/>
        </w:rPr>
        <w:t>龄结构</w:t>
      </w:r>
      <w:proofErr w:type="gramEnd"/>
      <w:r w:rsidRPr="00632924">
        <w:rPr>
          <w:color w:val="000000" w:themeColor="text1"/>
        </w:rPr>
        <w:t>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358"/>
        <w:gridCol w:w="1356"/>
        <w:gridCol w:w="135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账龄</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期末账面余额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年初账面余额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3</w:t>
            </w:r>
            <w:r w:rsidRPr="00632924">
              <w:rPr>
                <w:color w:val="000000" w:themeColor="text1"/>
              </w:rPr>
              <w:t>个月以内（含</w:t>
            </w:r>
            <w:r w:rsidRPr="00632924">
              <w:rPr>
                <w:color w:val="000000" w:themeColor="text1"/>
              </w:rPr>
              <w:t>3</w:t>
            </w:r>
            <w:r w:rsidRPr="00632924">
              <w:rPr>
                <w:color w:val="000000" w:themeColor="text1"/>
              </w:rPr>
              <w:t>个月）</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3</w:t>
            </w:r>
            <w:r w:rsidRPr="00632924">
              <w:rPr>
                <w:color w:val="000000" w:themeColor="text1"/>
              </w:rPr>
              <w:t>个月至</w:t>
            </w:r>
            <w:r w:rsidRPr="00632924">
              <w:rPr>
                <w:color w:val="000000" w:themeColor="text1"/>
              </w:rPr>
              <w:t>1</w:t>
            </w:r>
            <w:r w:rsidRPr="00632924">
              <w:rPr>
                <w:color w:val="000000" w:themeColor="text1"/>
              </w:rPr>
              <w:t>年（含</w:t>
            </w:r>
            <w:r w:rsidRPr="00632924">
              <w:rPr>
                <w:color w:val="000000" w:themeColor="text1"/>
              </w:rPr>
              <w:t>1</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年以上</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2</w:t>
      </w:r>
      <w:r w:rsidRPr="00632924">
        <w:rPr>
          <w:color w:val="000000" w:themeColor="text1"/>
        </w:rPr>
        <w:t>．应收代位追偿款</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1</w:t>
      </w:r>
      <w:r w:rsidRPr="00632924">
        <w:rPr>
          <w:color w:val="000000" w:themeColor="text1"/>
        </w:rPr>
        <w:t>）应收代位追偿</w:t>
      </w:r>
      <w:proofErr w:type="gramStart"/>
      <w:r w:rsidRPr="00632924">
        <w:rPr>
          <w:color w:val="000000" w:themeColor="text1"/>
        </w:rPr>
        <w:t>款账龄结构</w:t>
      </w:r>
      <w:proofErr w:type="gramEnd"/>
      <w:r w:rsidRPr="00632924">
        <w:rPr>
          <w:color w:val="000000" w:themeColor="text1"/>
        </w:rPr>
        <w:t>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778"/>
        <w:gridCol w:w="1356"/>
        <w:gridCol w:w="135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账龄</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期末账面余额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年初账面余额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个月以内（含</w:t>
            </w:r>
            <w:r w:rsidRPr="00632924">
              <w:rPr>
                <w:color w:val="000000" w:themeColor="text1"/>
              </w:rPr>
              <w:t>1</w:t>
            </w:r>
            <w:r w:rsidRPr="00632924">
              <w:rPr>
                <w:color w:val="000000" w:themeColor="text1"/>
              </w:rPr>
              <w:t>个月）</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个月至</w:t>
            </w:r>
            <w:r w:rsidRPr="00632924">
              <w:rPr>
                <w:color w:val="000000" w:themeColor="text1"/>
              </w:rPr>
              <w:t>3</w:t>
            </w:r>
            <w:r w:rsidRPr="00632924">
              <w:rPr>
                <w:color w:val="000000" w:themeColor="text1"/>
              </w:rPr>
              <w:t>个月（含</w:t>
            </w:r>
            <w:r w:rsidRPr="00632924">
              <w:rPr>
                <w:color w:val="000000" w:themeColor="text1"/>
              </w:rPr>
              <w:t>3</w:t>
            </w:r>
            <w:r w:rsidRPr="00632924">
              <w:rPr>
                <w:color w:val="000000" w:themeColor="text1"/>
              </w:rPr>
              <w:t>个月）</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3</w:t>
            </w:r>
            <w:r w:rsidRPr="00632924">
              <w:rPr>
                <w:color w:val="000000" w:themeColor="text1"/>
              </w:rPr>
              <w:t>个月至</w:t>
            </w:r>
            <w:r w:rsidRPr="00632924">
              <w:rPr>
                <w:color w:val="000000" w:themeColor="text1"/>
              </w:rPr>
              <w:t>1</w:t>
            </w:r>
            <w:r w:rsidRPr="00632924">
              <w:rPr>
                <w:color w:val="000000" w:themeColor="text1"/>
              </w:rPr>
              <w:t>年（含</w:t>
            </w:r>
            <w:r w:rsidRPr="00632924">
              <w:rPr>
                <w:color w:val="000000" w:themeColor="text1"/>
              </w:rPr>
              <w:t>1</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年以上</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w:t>
      </w:r>
      <w:r w:rsidRPr="00632924">
        <w:rPr>
          <w:color w:val="000000" w:themeColor="text1"/>
        </w:rPr>
        <w:t>2</w:t>
      </w:r>
      <w:r w:rsidRPr="00632924">
        <w:rPr>
          <w:color w:val="000000" w:themeColor="text1"/>
        </w:rPr>
        <w:t>）金额重大代位追偿</w:t>
      </w:r>
      <w:proofErr w:type="gramStart"/>
      <w:r w:rsidRPr="00632924">
        <w:rPr>
          <w:color w:val="000000" w:themeColor="text1"/>
        </w:rPr>
        <w:t>款产生</w:t>
      </w:r>
      <w:proofErr w:type="gramEnd"/>
      <w:r w:rsidRPr="00632924">
        <w:rPr>
          <w:color w:val="000000" w:themeColor="text1"/>
        </w:rPr>
        <w:t>的原因和未确认的理由。</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3</w:t>
      </w:r>
      <w:r w:rsidRPr="00632924">
        <w:rPr>
          <w:color w:val="000000" w:themeColor="text1"/>
        </w:rPr>
        <w:t>．定期存款的披露格式如下：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778"/>
        <w:gridCol w:w="1356"/>
        <w:gridCol w:w="135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到期期限</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期末账面余额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年初账面余额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个月至</w:t>
            </w:r>
            <w:r w:rsidRPr="00632924">
              <w:rPr>
                <w:color w:val="000000" w:themeColor="text1"/>
              </w:rPr>
              <w:t>3</w:t>
            </w:r>
            <w:r w:rsidRPr="00632924">
              <w:rPr>
                <w:color w:val="000000" w:themeColor="text1"/>
              </w:rPr>
              <w:t>个月（含</w:t>
            </w:r>
            <w:r w:rsidRPr="00632924">
              <w:rPr>
                <w:color w:val="000000" w:themeColor="text1"/>
              </w:rPr>
              <w:t>3</w:t>
            </w:r>
            <w:r w:rsidRPr="00632924">
              <w:rPr>
                <w:color w:val="000000" w:themeColor="text1"/>
              </w:rPr>
              <w:t>个月）</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3</w:t>
            </w:r>
            <w:r w:rsidRPr="00632924">
              <w:rPr>
                <w:color w:val="000000" w:themeColor="text1"/>
              </w:rPr>
              <w:t>个月至</w:t>
            </w:r>
            <w:r w:rsidRPr="00632924">
              <w:rPr>
                <w:color w:val="000000" w:themeColor="text1"/>
              </w:rPr>
              <w:t>1</w:t>
            </w:r>
            <w:r w:rsidRPr="00632924">
              <w:rPr>
                <w:color w:val="000000" w:themeColor="text1"/>
              </w:rPr>
              <w:t>年（含</w:t>
            </w:r>
            <w:r w:rsidRPr="00632924">
              <w:rPr>
                <w:color w:val="000000" w:themeColor="text1"/>
              </w:rPr>
              <w:t>1</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年至</w:t>
            </w:r>
            <w:r w:rsidRPr="00632924">
              <w:rPr>
                <w:color w:val="000000" w:themeColor="text1"/>
              </w:rPr>
              <w:t>2</w:t>
            </w:r>
            <w:r w:rsidRPr="00632924">
              <w:rPr>
                <w:color w:val="000000" w:themeColor="text1"/>
              </w:rPr>
              <w:t>年（含</w:t>
            </w:r>
            <w:r w:rsidRPr="00632924">
              <w:rPr>
                <w:color w:val="000000" w:themeColor="text1"/>
              </w:rPr>
              <w:t>2</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2</w:t>
            </w:r>
            <w:r w:rsidRPr="00632924">
              <w:rPr>
                <w:color w:val="000000" w:themeColor="text1"/>
              </w:rPr>
              <w:t>年至</w:t>
            </w:r>
            <w:r w:rsidRPr="00632924">
              <w:rPr>
                <w:color w:val="000000" w:themeColor="text1"/>
              </w:rPr>
              <w:t>3</w:t>
            </w:r>
            <w:r w:rsidRPr="00632924">
              <w:rPr>
                <w:color w:val="000000" w:themeColor="text1"/>
              </w:rPr>
              <w:t>年（含</w:t>
            </w:r>
            <w:r w:rsidRPr="00632924">
              <w:rPr>
                <w:color w:val="000000" w:themeColor="text1"/>
              </w:rPr>
              <w:t>3</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3</w:t>
            </w:r>
            <w:r w:rsidRPr="00632924">
              <w:rPr>
                <w:color w:val="000000" w:themeColor="text1"/>
              </w:rPr>
              <w:t>年至</w:t>
            </w:r>
            <w:r w:rsidRPr="00632924">
              <w:rPr>
                <w:color w:val="000000" w:themeColor="text1"/>
              </w:rPr>
              <w:t>4</w:t>
            </w:r>
            <w:r w:rsidRPr="00632924">
              <w:rPr>
                <w:color w:val="000000" w:themeColor="text1"/>
              </w:rPr>
              <w:t>年（含</w:t>
            </w:r>
            <w:r w:rsidRPr="00632924">
              <w:rPr>
                <w:color w:val="000000" w:themeColor="text1"/>
              </w:rPr>
              <w:t>4</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4</w:t>
            </w:r>
            <w:r w:rsidRPr="00632924">
              <w:rPr>
                <w:color w:val="000000" w:themeColor="text1"/>
              </w:rPr>
              <w:t>年至</w:t>
            </w:r>
            <w:r w:rsidRPr="00632924">
              <w:rPr>
                <w:color w:val="000000" w:themeColor="text1"/>
              </w:rPr>
              <w:t>5</w:t>
            </w:r>
            <w:r w:rsidRPr="00632924">
              <w:rPr>
                <w:color w:val="000000" w:themeColor="text1"/>
              </w:rPr>
              <w:t>年（含</w:t>
            </w:r>
            <w:r w:rsidRPr="00632924">
              <w:rPr>
                <w:color w:val="000000" w:themeColor="text1"/>
              </w:rPr>
              <w:t>5</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5</w:t>
            </w:r>
            <w:r w:rsidRPr="00632924">
              <w:rPr>
                <w:color w:val="000000" w:themeColor="text1"/>
              </w:rPr>
              <w:t>年以上</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债券投资到期期限结构，比照上述格式披露。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4</w:t>
      </w:r>
      <w:r w:rsidRPr="00632924">
        <w:rPr>
          <w:color w:val="000000" w:themeColor="text1"/>
        </w:rPr>
        <w:t>．其他资产的披露格式如下：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936"/>
        <w:gridCol w:w="1356"/>
        <w:gridCol w:w="135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lastRenderedPageBreak/>
              <w:t>项目</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期末账面价值</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年初账面价值</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应收股利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hyperlink r:id="rId4" w:tooltip="损余物资" w:history="1">
              <w:r w:rsidRPr="00632924">
                <w:rPr>
                  <w:rStyle w:val="a3"/>
                  <w:color w:val="000000" w:themeColor="text1"/>
                </w:rPr>
                <w:t>损余物资</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rFonts w:hint="eastAsia"/>
                <w:color w:val="000000" w:themeColor="text1"/>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其他</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注：损余物资产生的原因、所处置损余物资的账面价值、实现的损益，应同时予以披露。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5</w:t>
      </w:r>
      <w:r w:rsidRPr="00632924">
        <w:rPr>
          <w:color w:val="000000" w:themeColor="text1"/>
        </w:rPr>
        <w:t>．保户储金（或保户投资款）的披露格式如下：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148"/>
        <w:gridCol w:w="1356"/>
        <w:gridCol w:w="135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到期期限</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期末账面余额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年初账面余额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年以内（含</w:t>
            </w:r>
            <w:r w:rsidRPr="00632924">
              <w:rPr>
                <w:color w:val="000000" w:themeColor="text1"/>
              </w:rPr>
              <w:t>1</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年至</w:t>
            </w:r>
            <w:r w:rsidRPr="00632924">
              <w:rPr>
                <w:color w:val="000000" w:themeColor="text1"/>
              </w:rPr>
              <w:t>3</w:t>
            </w:r>
            <w:r w:rsidRPr="00632924">
              <w:rPr>
                <w:color w:val="000000" w:themeColor="text1"/>
              </w:rPr>
              <w:t>年（含</w:t>
            </w:r>
            <w:r w:rsidRPr="00632924">
              <w:rPr>
                <w:color w:val="000000" w:themeColor="text1"/>
              </w:rPr>
              <w:t>3</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3</w:t>
            </w:r>
            <w:r w:rsidRPr="00632924">
              <w:rPr>
                <w:color w:val="000000" w:themeColor="text1"/>
              </w:rPr>
              <w:t>年至</w:t>
            </w:r>
            <w:r w:rsidRPr="00632924">
              <w:rPr>
                <w:color w:val="000000" w:themeColor="text1"/>
              </w:rPr>
              <w:t>5</w:t>
            </w:r>
            <w:r w:rsidRPr="00632924">
              <w:rPr>
                <w:color w:val="000000" w:themeColor="text1"/>
              </w:rPr>
              <w:t>年（含</w:t>
            </w:r>
            <w:r w:rsidRPr="00632924">
              <w:rPr>
                <w:color w:val="000000" w:themeColor="text1"/>
              </w:rPr>
              <w:t>5</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5</w:t>
            </w:r>
            <w:r w:rsidRPr="00632924">
              <w:rPr>
                <w:color w:val="000000" w:themeColor="text1"/>
              </w:rPr>
              <w:t>年以上</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6</w:t>
      </w:r>
      <w:r w:rsidRPr="00632924">
        <w:rPr>
          <w:color w:val="000000" w:themeColor="text1"/>
        </w:rPr>
        <w:t>．</w:t>
      </w:r>
      <w:hyperlink r:id="rId5" w:tooltip="保险合同准备金" w:history="1">
        <w:r w:rsidRPr="00632924">
          <w:rPr>
            <w:rStyle w:val="a3"/>
            <w:color w:val="000000" w:themeColor="text1"/>
          </w:rPr>
          <w:t>保险合同准备金</w:t>
        </w:r>
      </w:hyperlink>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1</w:t>
      </w:r>
      <w:r w:rsidRPr="00632924">
        <w:rPr>
          <w:color w:val="000000" w:themeColor="text1"/>
        </w:rPr>
        <w:t>）保险合同准备金增减变动情况的披露格式如下：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036"/>
        <w:gridCol w:w="1266"/>
        <w:gridCol w:w="1074"/>
        <w:gridCol w:w="882"/>
        <w:gridCol w:w="882"/>
        <w:gridCol w:w="498"/>
        <w:gridCol w:w="498"/>
        <w:gridCol w:w="1266"/>
      </w:tblGrid>
      <w:tr w:rsidR="00632924" w:rsidRPr="00632924" w:rsidTr="00632924">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项目</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年初账面余额</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本期增加额</w:t>
            </w:r>
          </w:p>
        </w:tc>
        <w:tc>
          <w:tcPr>
            <w:tcW w:w="0" w:type="auto"/>
            <w:gridSpan w:val="4"/>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本期减少额</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期末账面余额</w:t>
            </w:r>
            <w:r w:rsidRPr="00632924">
              <w:rPr>
                <w:color w:val="000000" w:themeColor="text1"/>
              </w:rPr>
              <w:t xml:space="preserve"> </w:t>
            </w:r>
          </w:p>
        </w:tc>
      </w:tr>
      <w:tr w:rsidR="00632924" w:rsidRPr="00632924" w:rsidTr="00632924">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632924" w:rsidRPr="00632924" w:rsidRDefault="00632924" w:rsidP="00632924">
            <w:pPr>
              <w:rPr>
                <w:color w:val="000000" w:themeColor="text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632924" w:rsidRPr="00632924" w:rsidRDefault="00632924" w:rsidP="00632924">
            <w:pPr>
              <w:rPr>
                <w:color w:val="000000" w:themeColor="text1"/>
              </w:rPr>
            </w:pP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赔付款项</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提前解除</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其他</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r w:rsidRPr="00632924">
              <w:rPr>
                <w:color w:val="000000" w:themeColor="text1"/>
              </w:rPr>
              <w:t xml:space="preserve"> </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未到期责任准备金</w:t>
            </w:r>
            <w:r w:rsidRPr="00632924">
              <w:rPr>
                <w:color w:val="000000" w:themeColor="text1"/>
              </w:rPr>
              <w:br/>
            </w:r>
            <w:r w:rsidRPr="00632924">
              <w:rPr>
                <w:color w:val="000000" w:themeColor="text1"/>
              </w:rPr>
              <w:t xml:space="preserve">　</w:t>
            </w:r>
            <w:hyperlink r:id="rId6" w:tooltip="原保险合同" w:history="1">
              <w:r w:rsidRPr="00632924">
                <w:rPr>
                  <w:rStyle w:val="a3"/>
                  <w:color w:val="000000" w:themeColor="text1"/>
                </w:rPr>
                <w:t>原保险合同</w:t>
              </w:r>
            </w:hyperlink>
            <w:r w:rsidRPr="00632924">
              <w:rPr>
                <w:color w:val="000000" w:themeColor="text1"/>
              </w:rPr>
              <w:br/>
            </w:r>
            <w:r w:rsidRPr="00632924">
              <w:rPr>
                <w:color w:val="000000" w:themeColor="text1"/>
              </w:rPr>
              <w:t xml:space="preserve">　</w:t>
            </w:r>
            <w:hyperlink r:id="rId7" w:tooltip="再保险合同" w:history="1">
              <w:r w:rsidRPr="00632924">
                <w:rPr>
                  <w:rStyle w:val="a3"/>
                  <w:color w:val="000000" w:themeColor="text1"/>
                </w:rPr>
                <w:t>再保险合同</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未决赔款准备金</w:t>
            </w:r>
            <w:r w:rsidRPr="00632924">
              <w:rPr>
                <w:color w:val="000000" w:themeColor="text1"/>
              </w:rPr>
              <w:br/>
            </w:r>
            <w:r w:rsidRPr="00632924">
              <w:rPr>
                <w:color w:val="000000" w:themeColor="text1"/>
              </w:rPr>
              <w:t xml:space="preserve">　原保险合同</w:t>
            </w:r>
            <w:r w:rsidRPr="00632924">
              <w:rPr>
                <w:color w:val="000000" w:themeColor="text1"/>
              </w:rPr>
              <w:br/>
            </w:r>
            <w:r w:rsidRPr="00632924">
              <w:rPr>
                <w:color w:val="000000" w:themeColor="text1"/>
              </w:rPr>
              <w:t xml:space="preserve">　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寿险责任准备金</w:t>
            </w:r>
            <w:r w:rsidRPr="00632924">
              <w:rPr>
                <w:color w:val="000000" w:themeColor="text1"/>
              </w:rPr>
              <w:br/>
            </w:r>
            <w:r w:rsidRPr="00632924">
              <w:rPr>
                <w:color w:val="000000" w:themeColor="text1"/>
              </w:rPr>
              <w:t xml:space="preserve">　原保险合同</w:t>
            </w:r>
            <w:r w:rsidRPr="00632924">
              <w:rPr>
                <w:color w:val="000000" w:themeColor="text1"/>
              </w:rPr>
              <w:br/>
            </w:r>
            <w:r w:rsidRPr="00632924">
              <w:rPr>
                <w:color w:val="000000" w:themeColor="text1"/>
              </w:rPr>
              <w:t xml:space="preserve">　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长期健康险责任准备金</w:t>
            </w:r>
            <w:r w:rsidRPr="00632924">
              <w:rPr>
                <w:color w:val="000000" w:themeColor="text1"/>
              </w:rPr>
              <w:br/>
            </w:r>
            <w:r w:rsidRPr="00632924">
              <w:rPr>
                <w:color w:val="000000" w:themeColor="text1"/>
              </w:rPr>
              <w:t xml:space="preserve">　原保险合同</w:t>
            </w:r>
            <w:r w:rsidRPr="00632924">
              <w:rPr>
                <w:color w:val="000000" w:themeColor="text1"/>
              </w:rPr>
              <w:br/>
            </w:r>
            <w:r w:rsidRPr="00632924">
              <w:rPr>
                <w:color w:val="000000" w:themeColor="text1"/>
              </w:rPr>
              <w:t xml:space="preserve">　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w:t>
      </w:r>
      <w:r w:rsidRPr="00632924">
        <w:rPr>
          <w:color w:val="000000" w:themeColor="text1"/>
        </w:rPr>
        <w:t>2</w:t>
      </w:r>
      <w:r w:rsidRPr="00632924">
        <w:rPr>
          <w:color w:val="000000" w:themeColor="text1"/>
        </w:rPr>
        <w:t>）保险合同准备金未到期期限的披露格式如下：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196"/>
        <w:gridCol w:w="1937"/>
        <w:gridCol w:w="885"/>
        <w:gridCol w:w="1937"/>
        <w:gridCol w:w="885"/>
      </w:tblGrid>
      <w:tr w:rsidR="00632924" w:rsidRPr="00632924" w:rsidTr="00632924">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项目</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期末账面余额</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年初账面余额</w:t>
            </w:r>
            <w:r w:rsidRPr="00632924">
              <w:rPr>
                <w:color w:val="000000" w:themeColor="text1"/>
              </w:rPr>
              <w:t xml:space="preserve"> </w:t>
            </w:r>
          </w:p>
        </w:tc>
      </w:tr>
      <w:tr w:rsidR="00632924" w:rsidRPr="00632924" w:rsidTr="00632924">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年以下（含</w:t>
            </w:r>
            <w:r w:rsidRPr="00632924">
              <w:rPr>
                <w:color w:val="000000" w:themeColor="text1"/>
              </w:rPr>
              <w:t>1</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年以上</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年以下（含</w:t>
            </w:r>
            <w:r w:rsidRPr="00632924">
              <w:rPr>
                <w:color w:val="000000" w:themeColor="text1"/>
              </w:rPr>
              <w:t>1</w:t>
            </w:r>
            <w:r w:rsidRPr="00632924">
              <w:rPr>
                <w:color w:val="000000" w:themeColor="text1"/>
              </w:rPr>
              <w:t>年）</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年以上</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lastRenderedPageBreak/>
              <w:t>未到期责任准备金</w:t>
            </w:r>
            <w:r w:rsidRPr="00632924">
              <w:rPr>
                <w:color w:val="000000" w:themeColor="text1"/>
              </w:rPr>
              <w:br/>
            </w:r>
            <w:r w:rsidRPr="00632924">
              <w:rPr>
                <w:color w:val="000000" w:themeColor="text1"/>
              </w:rPr>
              <w:t xml:space="preserve">　原保险合同</w:t>
            </w:r>
            <w:r w:rsidRPr="00632924">
              <w:rPr>
                <w:color w:val="000000" w:themeColor="text1"/>
              </w:rPr>
              <w:br/>
            </w:r>
            <w:r w:rsidRPr="00632924">
              <w:rPr>
                <w:color w:val="000000" w:themeColor="text1"/>
              </w:rPr>
              <w:t xml:space="preserve">　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未决赔款准备金</w:t>
            </w:r>
            <w:r w:rsidRPr="00632924">
              <w:rPr>
                <w:color w:val="000000" w:themeColor="text1"/>
              </w:rPr>
              <w:br/>
            </w:r>
            <w:r w:rsidRPr="00632924">
              <w:rPr>
                <w:color w:val="000000" w:themeColor="text1"/>
              </w:rPr>
              <w:t xml:space="preserve">　原保险合同</w:t>
            </w:r>
            <w:r w:rsidRPr="00632924">
              <w:rPr>
                <w:color w:val="000000" w:themeColor="text1"/>
              </w:rPr>
              <w:br/>
            </w:r>
            <w:r w:rsidRPr="00632924">
              <w:rPr>
                <w:color w:val="000000" w:themeColor="text1"/>
              </w:rPr>
              <w:t xml:space="preserve">　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寿险责任准备金</w:t>
            </w:r>
            <w:r w:rsidRPr="00632924">
              <w:rPr>
                <w:color w:val="000000" w:themeColor="text1"/>
              </w:rPr>
              <w:br/>
            </w:r>
            <w:r w:rsidRPr="00632924">
              <w:rPr>
                <w:color w:val="000000" w:themeColor="text1"/>
              </w:rPr>
              <w:t xml:space="preserve">　原保险合同</w:t>
            </w:r>
            <w:r w:rsidRPr="00632924">
              <w:rPr>
                <w:color w:val="000000" w:themeColor="text1"/>
              </w:rPr>
              <w:br/>
            </w:r>
            <w:r w:rsidRPr="00632924">
              <w:rPr>
                <w:color w:val="000000" w:themeColor="text1"/>
              </w:rPr>
              <w:t xml:space="preserve">　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长期健康险责任准备金</w:t>
            </w:r>
            <w:r w:rsidRPr="00632924">
              <w:rPr>
                <w:color w:val="000000" w:themeColor="text1"/>
              </w:rPr>
              <w:br/>
            </w:r>
            <w:r w:rsidRPr="00632924">
              <w:rPr>
                <w:color w:val="000000" w:themeColor="text1"/>
              </w:rPr>
              <w:t xml:space="preserve">　原保险合同</w:t>
            </w:r>
            <w:r w:rsidRPr="00632924">
              <w:rPr>
                <w:color w:val="000000" w:themeColor="text1"/>
              </w:rPr>
              <w:br/>
            </w:r>
            <w:r w:rsidRPr="00632924">
              <w:rPr>
                <w:color w:val="000000" w:themeColor="text1"/>
              </w:rPr>
              <w:t xml:space="preserve">　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w:t>
      </w:r>
      <w:r w:rsidRPr="00632924">
        <w:rPr>
          <w:color w:val="000000" w:themeColor="text1"/>
        </w:rPr>
        <w:t>3</w:t>
      </w:r>
      <w:r w:rsidRPr="00632924">
        <w:rPr>
          <w:color w:val="000000" w:themeColor="text1"/>
        </w:rPr>
        <w:t>）原保险合同未决赔款准备金的披露格式如下：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826"/>
        <w:gridCol w:w="1356"/>
        <w:gridCol w:w="135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未决赔款准备金</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期末账面余额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年初账面余额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已发生已报案未决赔款准备金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已发生未报案未决赔款准备金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理赔费用准备金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7</w:t>
      </w:r>
      <w:r w:rsidRPr="00632924">
        <w:rPr>
          <w:color w:val="000000" w:themeColor="text1"/>
        </w:rPr>
        <w:t>．其他负债的披露格式如下：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936"/>
        <w:gridCol w:w="1356"/>
        <w:gridCol w:w="135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项目</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期末账面余额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年初账面余额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应付利息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rFonts w:hint="eastAsia"/>
                <w:color w:val="000000" w:themeColor="text1"/>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8</w:t>
      </w:r>
      <w:r w:rsidRPr="00632924">
        <w:rPr>
          <w:color w:val="000000" w:themeColor="text1"/>
        </w:rPr>
        <w:t>．企业应当分别原保险合同和再保险合同披露提取未到期责任准备金的本期发生额和上期发生额。</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9</w:t>
      </w:r>
      <w:r w:rsidRPr="00632924">
        <w:rPr>
          <w:color w:val="000000" w:themeColor="text1"/>
        </w:rPr>
        <w:t>．赔付支出</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1</w:t>
      </w:r>
      <w:r w:rsidRPr="00632924">
        <w:rPr>
          <w:color w:val="000000" w:themeColor="text1"/>
        </w:rPr>
        <w:t>）赔付支出按</w:t>
      </w:r>
      <w:hyperlink r:id="rId8" w:tooltip="保险合同" w:history="1">
        <w:r w:rsidRPr="00632924">
          <w:rPr>
            <w:rStyle w:val="a3"/>
            <w:color w:val="000000" w:themeColor="text1"/>
          </w:rPr>
          <w:t>保险合同</w:t>
        </w:r>
      </w:hyperlink>
      <w:r w:rsidRPr="00632924">
        <w:rPr>
          <w:color w:val="000000" w:themeColor="text1"/>
        </w:rPr>
        <w:t>列示的披露格式如下：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146"/>
        <w:gridCol w:w="1146"/>
        <w:gridCol w:w="114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项目</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本期发生额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上期发生额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原保险合同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w:t>
      </w:r>
      <w:r w:rsidRPr="00632924">
        <w:rPr>
          <w:color w:val="000000" w:themeColor="text1"/>
        </w:rPr>
        <w:t>2</w:t>
      </w:r>
      <w:r w:rsidRPr="00632924">
        <w:rPr>
          <w:color w:val="000000" w:themeColor="text1"/>
        </w:rPr>
        <w:t>）赔付支出按内容列示的披露格式如下：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356"/>
        <w:gridCol w:w="1146"/>
        <w:gridCol w:w="114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项目</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本期发生额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上期发生额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hyperlink r:id="rId9" w:tooltip="赔款支出" w:history="1">
              <w:r w:rsidRPr="00632924">
                <w:rPr>
                  <w:rStyle w:val="a3"/>
                  <w:color w:val="000000" w:themeColor="text1"/>
                </w:rPr>
                <w:t>赔款支出</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满期给付</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lastRenderedPageBreak/>
              <w:t>年金给付</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死伤医疗给付</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rFonts w:hint="eastAsia"/>
                <w:color w:val="000000" w:themeColor="text1"/>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10</w:t>
      </w:r>
      <w:r w:rsidRPr="00632924">
        <w:rPr>
          <w:color w:val="000000" w:themeColor="text1"/>
        </w:rPr>
        <w:t>．提取保险责任准备金</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1</w:t>
      </w:r>
      <w:r w:rsidRPr="00632924">
        <w:rPr>
          <w:color w:val="000000" w:themeColor="text1"/>
        </w:rPr>
        <w:t>）提取保险责任准备金按保险合同列示的披露格式如下：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616"/>
        <w:gridCol w:w="1146"/>
        <w:gridCol w:w="114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项目</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本期发生额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上期发生额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提取未决赔款准备金</w:t>
            </w:r>
            <w:r w:rsidRPr="00632924">
              <w:rPr>
                <w:color w:val="000000" w:themeColor="text1"/>
              </w:rPr>
              <w:br/>
            </w:r>
            <w:r w:rsidRPr="00632924">
              <w:rPr>
                <w:color w:val="000000" w:themeColor="text1"/>
              </w:rPr>
              <w:t>原保险合同</w:t>
            </w:r>
            <w:r w:rsidRPr="00632924">
              <w:rPr>
                <w:color w:val="000000" w:themeColor="text1"/>
              </w:rPr>
              <w:br/>
            </w:r>
            <w:r w:rsidRPr="00632924">
              <w:rPr>
                <w:color w:val="000000" w:themeColor="text1"/>
              </w:rPr>
              <w:t>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hyperlink r:id="rId10" w:tooltip="提取寿险责任准备金" w:history="1">
              <w:r w:rsidRPr="00632924">
                <w:rPr>
                  <w:rStyle w:val="a3"/>
                  <w:color w:val="000000" w:themeColor="text1"/>
                </w:rPr>
                <w:t>提取寿险责任准备金</w:t>
              </w:r>
            </w:hyperlink>
            <w:r w:rsidRPr="00632924">
              <w:rPr>
                <w:color w:val="000000" w:themeColor="text1"/>
              </w:rPr>
              <w:br/>
            </w:r>
            <w:r w:rsidRPr="00632924">
              <w:rPr>
                <w:color w:val="000000" w:themeColor="text1"/>
              </w:rPr>
              <w:t>原保险合同</w:t>
            </w:r>
            <w:r w:rsidRPr="00632924">
              <w:rPr>
                <w:color w:val="000000" w:themeColor="text1"/>
              </w:rPr>
              <w:br/>
            </w:r>
            <w:r w:rsidRPr="00632924">
              <w:rPr>
                <w:color w:val="000000" w:themeColor="text1"/>
              </w:rPr>
              <w:t>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提取长期健康险责任准备金</w:t>
            </w:r>
            <w:r w:rsidRPr="00632924">
              <w:rPr>
                <w:color w:val="000000" w:themeColor="text1"/>
              </w:rPr>
              <w:br/>
            </w:r>
            <w:r w:rsidRPr="00632924">
              <w:rPr>
                <w:color w:val="000000" w:themeColor="text1"/>
              </w:rPr>
              <w:t>原保险合同</w:t>
            </w:r>
            <w:r w:rsidRPr="00632924">
              <w:rPr>
                <w:color w:val="000000" w:themeColor="text1"/>
              </w:rPr>
              <w:br/>
            </w:r>
            <w:r w:rsidRPr="00632924">
              <w:rPr>
                <w:color w:val="000000" w:themeColor="text1"/>
              </w:rPr>
              <w:t>再保险合同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w:t>
      </w:r>
      <w:r w:rsidRPr="00632924">
        <w:rPr>
          <w:color w:val="000000" w:themeColor="text1"/>
        </w:rPr>
        <w:t>2</w:t>
      </w:r>
      <w:r w:rsidRPr="00632924">
        <w:rPr>
          <w:color w:val="000000" w:themeColor="text1"/>
        </w:rPr>
        <w:t>）提取原保险合同未决赔款准备金按构成内容列示的披露格式如下：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826"/>
        <w:gridCol w:w="1146"/>
        <w:gridCol w:w="114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提取未决赔款准备金</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本期发生额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上期发生额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已发生已报案未决赔款准备金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已发生未报案未决赔款准备金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理赔费用准备金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11</w:t>
      </w:r>
      <w:r w:rsidRPr="00632924">
        <w:rPr>
          <w:color w:val="000000" w:themeColor="text1"/>
        </w:rPr>
        <w:t>．摊</w:t>
      </w:r>
      <w:proofErr w:type="gramStart"/>
      <w:r w:rsidRPr="00632924">
        <w:rPr>
          <w:color w:val="000000" w:themeColor="text1"/>
        </w:rPr>
        <w:t>回保险</w:t>
      </w:r>
      <w:proofErr w:type="gramEnd"/>
      <w:r w:rsidRPr="00632924">
        <w:rPr>
          <w:color w:val="000000" w:themeColor="text1"/>
        </w:rPr>
        <w:t>责任准备金的披露格式如下：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616"/>
        <w:gridCol w:w="1146"/>
        <w:gridCol w:w="114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项目</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本期发生额</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上期发生额</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摊回未决赔款准备金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摊回寿险责任准备金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摊</w:t>
            </w:r>
            <w:proofErr w:type="gramStart"/>
            <w:r w:rsidRPr="00632924">
              <w:rPr>
                <w:color w:val="000000" w:themeColor="text1"/>
              </w:rPr>
              <w:t>回长期</w:t>
            </w:r>
            <w:proofErr w:type="gramEnd"/>
            <w:r w:rsidRPr="00632924">
              <w:rPr>
                <w:color w:val="000000" w:themeColor="text1"/>
              </w:rPr>
              <w:t>健康险责任准备金</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12</w:t>
      </w:r>
      <w:r w:rsidRPr="00632924">
        <w:rPr>
          <w:color w:val="000000" w:themeColor="text1"/>
        </w:rPr>
        <w:t>．分部报告</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1</w:t>
      </w:r>
      <w:r w:rsidRPr="00632924">
        <w:rPr>
          <w:color w:val="000000" w:themeColor="text1"/>
        </w:rPr>
        <w:t>）主要报告形式是业务分部的披露格式如下：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986"/>
        <w:gridCol w:w="503"/>
        <w:gridCol w:w="503"/>
        <w:gridCol w:w="503"/>
        <w:gridCol w:w="503"/>
        <w:gridCol w:w="386"/>
        <w:gridCol w:w="503"/>
        <w:gridCol w:w="503"/>
        <w:gridCol w:w="503"/>
        <w:gridCol w:w="503"/>
        <w:gridCol w:w="503"/>
        <w:gridCol w:w="503"/>
      </w:tblGrid>
      <w:tr w:rsidR="00632924" w:rsidRPr="00632924" w:rsidTr="00632924">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项目</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w:t>
            </w:r>
            <w:r w:rsidRPr="00632924">
              <w:rPr>
                <w:color w:val="000000" w:themeColor="text1"/>
              </w:rPr>
              <w:t>业务</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w:t>
            </w:r>
            <w:r w:rsidRPr="00632924">
              <w:rPr>
                <w:color w:val="000000" w:themeColor="text1"/>
              </w:rPr>
              <w:t>业务</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其他</w:t>
            </w:r>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proofErr w:type="gramStart"/>
            <w:r w:rsidRPr="00632924">
              <w:rPr>
                <w:color w:val="000000" w:themeColor="text1"/>
              </w:rPr>
              <w:t>抵销</w:t>
            </w:r>
            <w:proofErr w:type="gramEnd"/>
          </w:p>
        </w:tc>
        <w:tc>
          <w:tcPr>
            <w:tcW w:w="0" w:type="auto"/>
            <w:gridSpan w:val="2"/>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r w:rsidRPr="00632924">
              <w:rPr>
                <w:color w:val="000000" w:themeColor="text1"/>
              </w:rPr>
              <w:t xml:space="preserve"> </w:t>
            </w:r>
          </w:p>
        </w:tc>
      </w:tr>
      <w:tr w:rsidR="00632924" w:rsidRPr="00632924" w:rsidTr="00632924">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上期</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一、营业收入</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二、营业费用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lastRenderedPageBreak/>
              <w:t>三、营业利润（亏损）</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四、资产总额</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五、负债总额</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六、补充信息</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1</w:t>
            </w:r>
            <w:r w:rsidRPr="00632924">
              <w:rPr>
                <w:color w:val="000000" w:themeColor="text1"/>
              </w:rPr>
              <w:t>．折旧和摊销费用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2</w:t>
            </w:r>
            <w:r w:rsidRPr="00632924">
              <w:rPr>
                <w:color w:val="000000" w:themeColor="text1"/>
              </w:rPr>
              <w:t>．资本性支出</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3</w:t>
            </w:r>
            <w:r w:rsidRPr="00632924">
              <w:rPr>
                <w:color w:val="000000" w:themeColor="text1"/>
              </w:rPr>
              <w:t>．折旧和摊销以外的非现金费用</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注：主要报告形式是地区分部的，比照业务分部格式进行披露。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2</w:t>
      </w:r>
      <w:r w:rsidRPr="00632924">
        <w:rPr>
          <w:color w:val="000000" w:themeColor="text1"/>
        </w:rPr>
        <w:t>）在主要报告形式的基础上，对于次要报告形式，企业还应披露对外交易收入、分部资产总额。</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13</w:t>
      </w:r>
      <w:r w:rsidRPr="00632924">
        <w:rPr>
          <w:color w:val="000000" w:themeColor="text1"/>
        </w:rPr>
        <w:t>．投资连结产品</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1</w:t>
      </w:r>
      <w:r w:rsidRPr="00632924">
        <w:rPr>
          <w:color w:val="000000" w:themeColor="text1"/>
        </w:rPr>
        <w:t>）投资连结产品基本情况，包括名称、设立时间、账户特征、</w:t>
      </w:r>
      <w:hyperlink r:id="rId11" w:tooltip="投资组合" w:history="1">
        <w:r w:rsidRPr="00632924">
          <w:rPr>
            <w:rStyle w:val="a3"/>
            <w:color w:val="000000" w:themeColor="text1"/>
          </w:rPr>
          <w:t>投资组合</w:t>
        </w:r>
      </w:hyperlink>
      <w:r w:rsidRPr="00632924">
        <w:rPr>
          <w:color w:val="000000" w:themeColor="text1"/>
        </w:rPr>
        <w:t>规定、</w:t>
      </w:r>
      <w:hyperlink r:id="rId12" w:tooltip="投资风险" w:history="1">
        <w:r w:rsidRPr="00632924">
          <w:rPr>
            <w:rStyle w:val="a3"/>
            <w:color w:val="000000" w:themeColor="text1"/>
          </w:rPr>
          <w:t>投资风险</w:t>
        </w:r>
      </w:hyperlink>
      <w:r w:rsidRPr="00632924">
        <w:rPr>
          <w:color w:val="000000" w:themeColor="text1"/>
        </w:rPr>
        <w:t>等。</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2</w:t>
      </w:r>
      <w:r w:rsidRPr="00632924">
        <w:rPr>
          <w:color w:val="000000" w:themeColor="text1"/>
        </w:rPr>
        <w:t>）独立账户单位数及每一独立账户单位净资产。</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3</w:t>
      </w:r>
      <w:r w:rsidRPr="00632924">
        <w:rPr>
          <w:color w:val="000000" w:themeColor="text1"/>
        </w:rPr>
        <w:t>）独立账户的投资组合情况。</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4</w:t>
      </w:r>
      <w:r w:rsidRPr="00632924">
        <w:rPr>
          <w:color w:val="000000" w:themeColor="text1"/>
        </w:rPr>
        <w:t>）风险保费、独立账户管理费计提情况。</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5</w:t>
      </w:r>
      <w:r w:rsidRPr="00632924">
        <w:rPr>
          <w:color w:val="000000" w:themeColor="text1"/>
        </w:rPr>
        <w:t>）投资连结产品采用的主要会计政策。</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6</w:t>
      </w:r>
      <w:r w:rsidRPr="00632924">
        <w:rPr>
          <w:color w:val="000000" w:themeColor="text1"/>
        </w:rPr>
        <w:t>）独立账户资产的估值原则。</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14</w:t>
      </w:r>
      <w:r w:rsidRPr="00632924">
        <w:rPr>
          <w:color w:val="000000" w:themeColor="text1"/>
        </w:rPr>
        <w:t>．除以上项目以外的其他项目，应当比照商业银行进行披露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（七）或有事项</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比照商业银行进行披露。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（八）资产负债表日后事项</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比照商业银行进行披露。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（九）关联方关系及其交易</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比照商业银行进行披露。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（十）风险管理</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1</w:t>
      </w:r>
      <w:r w:rsidRPr="00632924">
        <w:rPr>
          <w:color w:val="000000" w:themeColor="text1"/>
        </w:rPr>
        <w:t>．</w:t>
      </w:r>
      <w:hyperlink r:id="rId13" w:tooltip="保险风险" w:history="1">
        <w:r w:rsidRPr="00632924">
          <w:rPr>
            <w:rStyle w:val="a3"/>
            <w:color w:val="000000" w:themeColor="text1"/>
          </w:rPr>
          <w:t>保险风险</w:t>
        </w:r>
      </w:hyperlink>
      <w:r w:rsidRPr="00632924">
        <w:rPr>
          <w:color w:val="000000" w:themeColor="text1"/>
        </w:rPr>
        <w:t>。</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1</w:t>
      </w:r>
      <w:r w:rsidRPr="00632924">
        <w:rPr>
          <w:color w:val="000000" w:themeColor="text1"/>
        </w:rPr>
        <w:t>）风险管理目标和减轻风险的政策。</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①</w:t>
      </w:r>
      <w:r w:rsidRPr="00632924">
        <w:rPr>
          <w:color w:val="000000" w:themeColor="text1"/>
        </w:rPr>
        <w:t>管理资产负债的技术，包括保持</w:t>
      </w:r>
      <w:hyperlink r:id="rId14" w:tooltip="偿付能力" w:history="1">
        <w:r w:rsidRPr="00632924">
          <w:rPr>
            <w:rStyle w:val="a3"/>
            <w:color w:val="000000" w:themeColor="text1"/>
          </w:rPr>
          <w:t>偿付能力</w:t>
        </w:r>
      </w:hyperlink>
      <w:r w:rsidRPr="00632924">
        <w:rPr>
          <w:color w:val="000000" w:themeColor="text1"/>
        </w:rPr>
        <w:t>的方法等。</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②</w:t>
      </w:r>
      <w:r w:rsidRPr="00632924">
        <w:rPr>
          <w:color w:val="000000" w:themeColor="text1"/>
        </w:rPr>
        <w:t>选择和接受可承保保险风险的政策，包括确定可接受风险的范围和水平等。</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③</w:t>
      </w:r>
      <w:r w:rsidRPr="00632924">
        <w:rPr>
          <w:color w:val="000000" w:themeColor="text1"/>
        </w:rPr>
        <w:t>评估和监控保险风险的方法，包括内部风险计量模型、</w:t>
      </w:r>
      <w:hyperlink r:id="rId15" w:tooltip="敏感性分析" w:history="1">
        <w:r w:rsidRPr="00632924">
          <w:rPr>
            <w:rStyle w:val="a3"/>
            <w:color w:val="000000" w:themeColor="text1"/>
          </w:rPr>
          <w:t>敏感性分析</w:t>
        </w:r>
      </w:hyperlink>
      <w:r w:rsidRPr="00632924">
        <w:rPr>
          <w:color w:val="000000" w:themeColor="text1"/>
        </w:rPr>
        <w:t>等。</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④</w:t>
      </w:r>
      <w:r w:rsidRPr="00632924">
        <w:rPr>
          <w:color w:val="000000" w:themeColor="text1"/>
        </w:rPr>
        <w:t>限制和转移保险风险的方法，包括共同保险、再保险等。</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2</w:t>
      </w:r>
      <w:r w:rsidRPr="00632924">
        <w:rPr>
          <w:color w:val="000000" w:themeColor="text1"/>
        </w:rPr>
        <w:t>）保险风险类型。</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①</w:t>
      </w:r>
      <w:r w:rsidRPr="00632924">
        <w:rPr>
          <w:color w:val="000000" w:themeColor="text1"/>
        </w:rPr>
        <w:t>保险风险的内容。</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②</w:t>
      </w:r>
      <w:r w:rsidRPr="00632924">
        <w:rPr>
          <w:color w:val="000000" w:themeColor="text1"/>
        </w:rPr>
        <w:t>减轻保险风险的因素及程度，包括再保险等。</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③</w:t>
      </w:r>
      <w:r w:rsidRPr="00632924">
        <w:rPr>
          <w:color w:val="000000" w:themeColor="text1"/>
        </w:rPr>
        <w:t>可能引起现金流量发生变动的因素。</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3</w:t>
      </w:r>
      <w:r w:rsidRPr="00632924">
        <w:rPr>
          <w:color w:val="000000" w:themeColor="text1"/>
        </w:rPr>
        <w:t>）保险风险集中度。</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①</w:t>
      </w:r>
      <w:r w:rsidRPr="00632924">
        <w:rPr>
          <w:color w:val="000000" w:themeColor="text1"/>
        </w:rPr>
        <w:t>保险风险集中的险种。</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②</w:t>
      </w:r>
      <w:r w:rsidRPr="00632924">
        <w:rPr>
          <w:color w:val="000000" w:themeColor="text1"/>
        </w:rPr>
        <w:t>保险风险集中的地域。</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4</w:t>
      </w:r>
      <w:r w:rsidRPr="00632924">
        <w:rPr>
          <w:color w:val="000000" w:themeColor="text1"/>
        </w:rPr>
        <w:t>）不考虑分出业务的索赔进展信息的披露格式如下：</w:t>
      </w:r>
      <w:r w:rsidRPr="00632924">
        <w:rPr>
          <w:color w:val="000000" w:themeColor="text1"/>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2616"/>
        <w:gridCol w:w="726"/>
        <w:gridCol w:w="726"/>
        <w:gridCol w:w="726"/>
        <w:gridCol w:w="726"/>
        <w:gridCol w:w="516"/>
        <w:gridCol w:w="516"/>
      </w:tblGrid>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lastRenderedPageBreak/>
              <w:t>项目</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前四年</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前三年</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前二年</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前一年</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本年</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合计</w:t>
            </w:r>
            <w:r w:rsidRPr="00632924">
              <w:rPr>
                <w:color w:val="000000" w:themeColor="text1"/>
              </w:rPr>
              <w:t xml:space="preserve"> </w:t>
            </w: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本年末累计赔付款</w:t>
            </w:r>
            <w:proofErr w:type="gramStart"/>
            <w:r w:rsidRPr="00632924">
              <w:rPr>
                <w:color w:val="000000" w:themeColor="text1"/>
              </w:rPr>
              <w:t>项估计额</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一年后累计赔付款</w:t>
            </w:r>
            <w:proofErr w:type="gramStart"/>
            <w:r w:rsidRPr="00632924">
              <w:rPr>
                <w:color w:val="000000" w:themeColor="text1"/>
              </w:rPr>
              <w:t>项估计额</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二年后累计赔付款</w:t>
            </w:r>
            <w:proofErr w:type="gramStart"/>
            <w:r w:rsidRPr="00632924">
              <w:rPr>
                <w:color w:val="000000" w:themeColor="text1"/>
              </w:rPr>
              <w:t>项估计额</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三年后累计赔付款</w:t>
            </w:r>
            <w:proofErr w:type="gramStart"/>
            <w:r w:rsidRPr="00632924">
              <w:rPr>
                <w:color w:val="000000" w:themeColor="text1"/>
              </w:rPr>
              <w:t>项估计额</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四年后累计赔付款</w:t>
            </w:r>
            <w:proofErr w:type="gramStart"/>
            <w:r w:rsidRPr="00632924">
              <w:rPr>
                <w:color w:val="000000" w:themeColor="text1"/>
              </w:rPr>
              <w:t>项估计额</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累计赔付款</w:t>
            </w:r>
            <w:proofErr w:type="gramStart"/>
            <w:r w:rsidRPr="00632924">
              <w:rPr>
                <w:color w:val="000000" w:themeColor="text1"/>
              </w:rPr>
              <w:t>项估计额</w:t>
            </w:r>
            <w:proofErr w:type="gram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累计支付的赔付款项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以前期间调整额</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r w:rsidR="00632924" w:rsidRPr="00632924" w:rsidTr="00632924">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r w:rsidRPr="00632924">
              <w:rPr>
                <w:color w:val="000000" w:themeColor="text1"/>
              </w:rPr>
              <w:t>尚未支付的赔付款项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632924" w:rsidRPr="00632924" w:rsidRDefault="00632924" w:rsidP="00632924">
            <w:pPr>
              <w:rPr>
                <w:color w:val="000000" w:themeColor="text1"/>
              </w:rPr>
            </w:pPr>
          </w:p>
        </w:tc>
      </w:tr>
    </w:tbl>
    <w:p w:rsidR="00632924" w:rsidRPr="00632924" w:rsidRDefault="00632924" w:rsidP="00632924">
      <w:pPr>
        <w:rPr>
          <w:color w:val="000000" w:themeColor="text1"/>
        </w:rPr>
      </w:pPr>
      <w:r w:rsidRPr="00632924">
        <w:rPr>
          <w:color w:val="000000" w:themeColor="text1"/>
        </w:rPr>
        <w:t>扣除分出业务后的索赔进展信息，比照上述不考虑分出业务的索赔进展信息的格式进行披露。</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w:t>
      </w:r>
      <w:r w:rsidRPr="00632924">
        <w:rPr>
          <w:color w:val="000000" w:themeColor="text1"/>
        </w:rPr>
        <w:t>5</w:t>
      </w:r>
      <w:r w:rsidRPr="00632924">
        <w:rPr>
          <w:color w:val="000000" w:themeColor="text1"/>
        </w:rPr>
        <w:t>）与保险合同有关的重大假设。</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①</w:t>
      </w:r>
      <w:r w:rsidRPr="00632924">
        <w:rPr>
          <w:color w:val="000000" w:themeColor="text1"/>
        </w:rPr>
        <w:t>重大假设，包括死亡率、发病率、</w:t>
      </w:r>
      <w:hyperlink r:id="rId16" w:tooltip="退保率" w:history="1">
        <w:r w:rsidRPr="00632924">
          <w:rPr>
            <w:rStyle w:val="a3"/>
            <w:color w:val="000000" w:themeColor="text1"/>
          </w:rPr>
          <w:t>退保率</w:t>
        </w:r>
      </w:hyperlink>
      <w:r w:rsidRPr="00632924">
        <w:rPr>
          <w:color w:val="000000" w:themeColor="text1"/>
        </w:rPr>
        <w:t>、</w:t>
      </w:r>
      <w:hyperlink r:id="rId17" w:tooltip="投资收益率" w:history="1">
        <w:r w:rsidRPr="00632924">
          <w:rPr>
            <w:rStyle w:val="a3"/>
            <w:color w:val="000000" w:themeColor="text1"/>
          </w:rPr>
          <w:t>投资收益率</w:t>
        </w:r>
      </w:hyperlink>
      <w:r w:rsidRPr="00632924">
        <w:rPr>
          <w:color w:val="000000" w:themeColor="text1"/>
        </w:rPr>
        <w:t>等。</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②</w:t>
      </w:r>
      <w:r w:rsidRPr="00632924">
        <w:rPr>
          <w:color w:val="000000" w:themeColor="text1"/>
        </w:rPr>
        <w:t>对假设具有重大影响的数据的来源。</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③</w:t>
      </w:r>
      <w:r w:rsidRPr="00632924">
        <w:rPr>
          <w:color w:val="000000" w:themeColor="text1"/>
        </w:rPr>
        <w:t>假设变动的影响及敏感性分析。</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④</w:t>
      </w:r>
      <w:r w:rsidRPr="00632924">
        <w:rPr>
          <w:color w:val="000000" w:themeColor="text1"/>
        </w:rPr>
        <w:t>影响假设不确定性的事项和程度。</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⑤</w:t>
      </w:r>
      <w:r w:rsidRPr="00632924">
        <w:rPr>
          <w:color w:val="000000" w:themeColor="text1"/>
        </w:rPr>
        <w:t>不同假设之间的关系。</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⑥</w:t>
      </w:r>
      <w:r w:rsidRPr="00632924">
        <w:rPr>
          <w:color w:val="000000" w:themeColor="text1"/>
        </w:rPr>
        <w:t>描述过去经验和当前情况。</w:t>
      </w:r>
      <w:r w:rsidRPr="00632924">
        <w:rPr>
          <w:color w:val="000000" w:themeColor="text1"/>
        </w:rPr>
        <w:t xml:space="preserve"> </w:t>
      </w:r>
    </w:p>
    <w:p w:rsidR="00632924" w:rsidRPr="00632924" w:rsidRDefault="00632924" w:rsidP="00632924">
      <w:pPr>
        <w:rPr>
          <w:color w:val="000000" w:themeColor="text1"/>
        </w:rPr>
      </w:pPr>
      <w:r w:rsidRPr="00632924">
        <w:rPr>
          <w:rFonts w:hint="eastAsia"/>
          <w:color w:val="000000" w:themeColor="text1"/>
        </w:rPr>
        <w:t>⑦</w:t>
      </w:r>
      <w:r w:rsidRPr="00632924">
        <w:rPr>
          <w:color w:val="000000" w:themeColor="text1"/>
        </w:rPr>
        <w:t>假设与可观察到的</w:t>
      </w:r>
      <w:hyperlink r:id="rId18" w:tooltip="市场价格" w:history="1">
        <w:r w:rsidRPr="00632924">
          <w:rPr>
            <w:rStyle w:val="a3"/>
            <w:color w:val="000000" w:themeColor="text1"/>
          </w:rPr>
          <w:t>市场价格</w:t>
        </w:r>
      </w:hyperlink>
      <w:r w:rsidRPr="00632924">
        <w:rPr>
          <w:color w:val="000000" w:themeColor="text1"/>
        </w:rPr>
        <w:t>或其他公开信息的符合程度。</w:t>
      </w:r>
      <w:r w:rsidRPr="00632924">
        <w:rPr>
          <w:color w:val="000000" w:themeColor="text1"/>
        </w:rPr>
        <w:t xml:space="preserve"> </w:t>
      </w:r>
    </w:p>
    <w:p w:rsidR="00632924" w:rsidRPr="00632924" w:rsidRDefault="00632924" w:rsidP="00632924">
      <w:pPr>
        <w:rPr>
          <w:color w:val="000000" w:themeColor="text1"/>
        </w:rPr>
      </w:pPr>
      <w:r w:rsidRPr="00632924">
        <w:rPr>
          <w:color w:val="000000" w:themeColor="text1"/>
        </w:rPr>
        <w:t>2</w:t>
      </w:r>
      <w:r w:rsidRPr="00632924">
        <w:rPr>
          <w:color w:val="000000" w:themeColor="text1"/>
        </w:rPr>
        <w:t>．</w:t>
      </w:r>
      <w:proofErr w:type="gramStart"/>
      <w:r w:rsidRPr="00632924">
        <w:rPr>
          <w:color w:val="000000" w:themeColor="text1"/>
        </w:rPr>
        <w:t>除保险</w:t>
      </w:r>
      <w:proofErr w:type="gramEnd"/>
      <w:r w:rsidRPr="00632924">
        <w:rPr>
          <w:color w:val="000000" w:themeColor="text1"/>
        </w:rPr>
        <w:t>风险以外的其他风险，应当比照商业银行进行披露。</w:t>
      </w:r>
      <w:r w:rsidRPr="00632924">
        <w:rPr>
          <w:color w:val="000000" w:themeColor="text1"/>
        </w:rPr>
        <w:t xml:space="preserve"> </w:t>
      </w:r>
    </w:p>
    <w:p w:rsidR="00632924" w:rsidRPr="00632924" w:rsidRDefault="00632924" w:rsidP="00632924">
      <w:pPr>
        <w:rPr>
          <w:rFonts w:hint="eastAsia"/>
          <w:color w:val="000000" w:themeColor="text1"/>
        </w:rPr>
      </w:pPr>
    </w:p>
    <w:sectPr w:rsidR="00632924" w:rsidRPr="00632924" w:rsidSect="00CF4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2924"/>
    <w:rsid w:val="000404D8"/>
    <w:rsid w:val="0012736D"/>
    <w:rsid w:val="001D492B"/>
    <w:rsid w:val="002044C7"/>
    <w:rsid w:val="00220024"/>
    <w:rsid w:val="002418F9"/>
    <w:rsid w:val="002467E5"/>
    <w:rsid w:val="00337042"/>
    <w:rsid w:val="003B273D"/>
    <w:rsid w:val="003D6345"/>
    <w:rsid w:val="00460362"/>
    <w:rsid w:val="004A65C8"/>
    <w:rsid w:val="004F6365"/>
    <w:rsid w:val="00535208"/>
    <w:rsid w:val="005717A0"/>
    <w:rsid w:val="00585B26"/>
    <w:rsid w:val="005B7155"/>
    <w:rsid w:val="005E71A4"/>
    <w:rsid w:val="00632924"/>
    <w:rsid w:val="006A2862"/>
    <w:rsid w:val="00865F88"/>
    <w:rsid w:val="008C6A60"/>
    <w:rsid w:val="0098542A"/>
    <w:rsid w:val="009C1D47"/>
    <w:rsid w:val="00A57181"/>
    <w:rsid w:val="00AA6E05"/>
    <w:rsid w:val="00AB4772"/>
    <w:rsid w:val="00B45368"/>
    <w:rsid w:val="00C22F58"/>
    <w:rsid w:val="00C5091A"/>
    <w:rsid w:val="00C66B00"/>
    <w:rsid w:val="00C8357B"/>
    <w:rsid w:val="00CD2ADD"/>
    <w:rsid w:val="00CF4D11"/>
    <w:rsid w:val="00D05820"/>
    <w:rsid w:val="00D322E0"/>
    <w:rsid w:val="00D372B4"/>
    <w:rsid w:val="00DC43FC"/>
    <w:rsid w:val="00DF557D"/>
    <w:rsid w:val="00F80192"/>
    <w:rsid w:val="00F944FE"/>
    <w:rsid w:val="00FD494E"/>
    <w:rsid w:val="00FF7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924"/>
    <w:rPr>
      <w:strike w:val="0"/>
      <w:dstrike w:val="0"/>
      <w:color w:val="2153B0"/>
      <w:u w:val="none"/>
      <w:effect w:val="none"/>
    </w:rPr>
  </w:style>
  <w:style w:type="paragraph" w:styleId="a4">
    <w:name w:val="Normal (Web)"/>
    <w:basedOn w:val="a"/>
    <w:uiPriority w:val="99"/>
    <w:semiHidden/>
    <w:unhideWhenUsed/>
    <w:rsid w:val="00632924"/>
    <w:pPr>
      <w:widowControl/>
      <w:spacing w:before="240" w:after="24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0965763">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0">
          <w:marLeft w:val="0"/>
          <w:marRight w:val="150"/>
          <w:marTop w:val="2625"/>
          <w:marBottom w:val="0"/>
          <w:divBdr>
            <w:top w:val="none" w:sz="0" w:space="0" w:color="auto"/>
            <w:left w:val="none" w:sz="0" w:space="0" w:color="auto"/>
            <w:bottom w:val="none" w:sz="0" w:space="0" w:color="auto"/>
            <w:right w:val="none" w:sz="0" w:space="0" w:color="auto"/>
          </w:divBdr>
          <w:divsChild>
            <w:div w:id="1894807096">
              <w:marLeft w:val="3450"/>
              <w:marRight w:val="0"/>
              <w:marTop w:val="0"/>
              <w:marBottom w:val="0"/>
              <w:divBdr>
                <w:top w:val="none" w:sz="0" w:space="0" w:color="auto"/>
                <w:left w:val="none" w:sz="0" w:space="0" w:color="auto"/>
                <w:bottom w:val="none" w:sz="0" w:space="0" w:color="auto"/>
                <w:right w:val="none" w:sz="0" w:space="0" w:color="auto"/>
              </w:divBdr>
              <w:divsChild>
                <w:div w:id="11816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4%BF%9D%E9%99%A9%E5%90%88%E5%90%8C" TargetMode="External"/><Relationship Id="rId13" Type="http://schemas.openxmlformats.org/officeDocument/2006/relationships/hyperlink" Target="http://wiki.mbalib.com/wiki/%E4%BF%9D%E9%99%A9%E9%A3%8E%E9%99%A9" TargetMode="External"/><Relationship Id="rId18" Type="http://schemas.openxmlformats.org/officeDocument/2006/relationships/hyperlink" Target="http://wiki.mbalib.com/wiki/%E5%B8%82%E5%9C%BA%E4%BB%B7%E6%A0%BC" TargetMode="External"/><Relationship Id="rId3" Type="http://schemas.openxmlformats.org/officeDocument/2006/relationships/webSettings" Target="webSettings.xml"/><Relationship Id="rId7" Type="http://schemas.openxmlformats.org/officeDocument/2006/relationships/hyperlink" Target="http://wiki.mbalib.com/wiki/%E5%86%8D%E4%BF%9D%E9%99%A9%E5%90%88%E5%90%8C" TargetMode="External"/><Relationship Id="rId12" Type="http://schemas.openxmlformats.org/officeDocument/2006/relationships/hyperlink" Target="http://wiki.mbalib.com/wiki/%E6%8A%95%E8%B5%84%E9%A3%8E%E9%99%A9" TargetMode="External"/><Relationship Id="rId17" Type="http://schemas.openxmlformats.org/officeDocument/2006/relationships/hyperlink" Target="http://wiki.mbalib.com/wiki/%E6%8A%95%E8%B5%84%E6%94%B6%E7%9B%8A%E7%8E%87" TargetMode="External"/><Relationship Id="rId2" Type="http://schemas.openxmlformats.org/officeDocument/2006/relationships/settings" Target="settings.xml"/><Relationship Id="rId16" Type="http://schemas.openxmlformats.org/officeDocument/2006/relationships/hyperlink" Target="http://wiki.mbalib.com/wiki/%E9%80%80%E4%BF%9D%E7%8E%8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iki.mbalib.com/wiki/%E5%8E%9F%E4%BF%9D%E9%99%A9%E5%90%88%E5%90%8C" TargetMode="External"/><Relationship Id="rId11" Type="http://schemas.openxmlformats.org/officeDocument/2006/relationships/hyperlink" Target="http://wiki.mbalib.com/wiki/%E6%8A%95%E8%B5%84%E7%BB%84%E5%90%88" TargetMode="External"/><Relationship Id="rId5" Type="http://schemas.openxmlformats.org/officeDocument/2006/relationships/hyperlink" Target="http://wiki.mbalib.com/wiki/%E4%BF%9D%E9%99%A9%E5%90%88%E5%90%8C%E5%87%86%E5%A4%87%E9%87%91" TargetMode="External"/><Relationship Id="rId15" Type="http://schemas.openxmlformats.org/officeDocument/2006/relationships/hyperlink" Target="http://wiki.mbalib.com/wiki/%E6%95%8F%E6%84%9F%E6%80%A7%E5%88%86%E6%9E%90" TargetMode="External"/><Relationship Id="rId10" Type="http://schemas.openxmlformats.org/officeDocument/2006/relationships/hyperlink" Target="http://wiki.mbalib.com/wiki/%E6%8F%90%E5%8F%96%E5%AF%BF%E9%99%A9%E8%B4%A3%E4%BB%BB%E5%87%86%E5%A4%87%E9%87%91" TargetMode="External"/><Relationship Id="rId19" Type="http://schemas.openxmlformats.org/officeDocument/2006/relationships/fontTable" Target="fontTable.xml"/><Relationship Id="rId4" Type="http://schemas.openxmlformats.org/officeDocument/2006/relationships/hyperlink" Target="http://wiki.mbalib.com/wiki/%E6%8D%9F%E4%BD%99%E7%89%A9%E8%B5%84" TargetMode="External"/><Relationship Id="rId9" Type="http://schemas.openxmlformats.org/officeDocument/2006/relationships/hyperlink" Target="http://wiki.mbalib.com/wiki/%E8%B5%94%E6%AC%BE%E6%94%AF%E5%87%BA" TargetMode="External"/><Relationship Id="rId14" Type="http://schemas.openxmlformats.org/officeDocument/2006/relationships/hyperlink" Target="http://wiki.mbalib.com/wiki/%E5%81%BF%E4%BB%98%E8%83%BD%E5%8A%9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700</Words>
  <Characters>3995</Characters>
  <Application>Microsoft Office Word</Application>
  <DocSecurity>0</DocSecurity>
  <Lines>33</Lines>
  <Paragraphs>9</Paragraphs>
  <ScaleCrop>false</ScaleCrop>
  <Company>PAS</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Allen</cp:lastModifiedBy>
  <cp:revision>1</cp:revision>
  <dcterms:created xsi:type="dcterms:W3CDTF">2011-09-14T14:51:00Z</dcterms:created>
  <dcterms:modified xsi:type="dcterms:W3CDTF">2011-09-14T14:54:00Z</dcterms:modified>
</cp:coreProperties>
</file>