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91" w:rsidRDefault="00067B91" w:rsidP="00067B91">
      <w:pPr>
        <w:adjustRightInd w:val="0"/>
        <w:spacing w:line="360" w:lineRule="auto"/>
        <w:jc w:val="center"/>
        <w:rPr>
          <w:rFonts w:ascii="华文中宋" w:eastAsia="华文中宋" w:hAnsi="华文中宋" w:cs="宋体" w:hint="eastAsia"/>
          <w:b/>
          <w:bCs/>
          <w:kern w:val="0"/>
          <w:sz w:val="44"/>
          <w:szCs w:val="44"/>
        </w:rPr>
      </w:pPr>
    </w:p>
    <w:p w:rsidR="00067B91" w:rsidRDefault="00067B91" w:rsidP="00067B91">
      <w:pPr>
        <w:adjustRightInd w:val="0"/>
        <w:spacing w:line="360" w:lineRule="auto"/>
        <w:jc w:val="center"/>
        <w:rPr>
          <w:rFonts w:ascii="华文中宋" w:eastAsia="华文中宋" w:hAnsi="华文中宋" w:cs="宋体" w:hint="eastAsia"/>
          <w:b/>
          <w:bCs/>
          <w:kern w:val="0"/>
          <w:sz w:val="44"/>
          <w:szCs w:val="44"/>
        </w:rPr>
      </w:pPr>
    </w:p>
    <w:p w:rsidR="00067B91" w:rsidRDefault="00067B91" w:rsidP="00067B91">
      <w:pPr>
        <w:adjustRightInd w:val="0"/>
        <w:spacing w:line="360" w:lineRule="auto"/>
        <w:jc w:val="center"/>
        <w:rPr>
          <w:rFonts w:ascii="华文中宋" w:eastAsia="华文中宋" w:hAnsi="华文中宋" w:cs="宋体"/>
          <w:bCs/>
          <w:kern w:val="0"/>
          <w:sz w:val="44"/>
          <w:szCs w:val="44"/>
        </w:rPr>
      </w:pPr>
      <w:r>
        <w:rPr>
          <w:rFonts w:ascii="华文中宋" w:eastAsia="华文中宋" w:hAnsi="华文中宋" w:cs="宋体" w:hint="eastAsia"/>
          <w:b/>
          <w:bCs/>
          <w:kern w:val="0"/>
          <w:sz w:val="44"/>
          <w:szCs w:val="44"/>
        </w:rPr>
        <w:t>全国住房公积金</w:t>
      </w:r>
      <w:r>
        <w:rPr>
          <w:rFonts w:ascii="华文中宋" w:eastAsia="华文中宋" w:hAnsi="华文中宋" w:cs="宋体"/>
          <w:b/>
          <w:bCs/>
          <w:kern w:val="0"/>
          <w:sz w:val="44"/>
          <w:szCs w:val="44"/>
        </w:rPr>
        <w:t>201</w:t>
      </w:r>
      <w:r>
        <w:rPr>
          <w:rFonts w:ascii="华文中宋" w:eastAsia="华文中宋" w:hAnsi="华文中宋" w:cs="宋体" w:hint="eastAsia"/>
          <w:b/>
          <w:bCs/>
          <w:kern w:val="0"/>
          <w:sz w:val="44"/>
          <w:szCs w:val="44"/>
        </w:rPr>
        <w:t>7年年度报告</w:t>
      </w:r>
      <w:r>
        <w:rPr>
          <w:rFonts w:ascii="华文中宋" w:eastAsia="华文中宋" w:hAnsi="华文中宋" w:cs="宋体"/>
          <w:b/>
          <w:bCs/>
          <w:kern w:val="0"/>
          <w:sz w:val="44"/>
          <w:szCs w:val="44"/>
          <w:vertAlign w:val="superscript"/>
        </w:rPr>
        <w:t>[1]</w:t>
      </w:r>
    </w:p>
    <w:p w:rsidR="00067B91" w:rsidRDefault="00067B91" w:rsidP="00067B91">
      <w:pPr>
        <w:adjustRightInd w:val="0"/>
        <w:spacing w:line="360" w:lineRule="auto"/>
        <w:jc w:val="center"/>
        <w:rPr>
          <w:rFonts w:ascii="楷体_GB2312" w:eastAsia="楷体_GB2312" w:hAnsi="楷体_GB2312" w:cs="宋体" w:hint="eastAsia"/>
          <w:b/>
          <w:kern w:val="0"/>
          <w:sz w:val="32"/>
          <w:szCs w:val="44"/>
        </w:rPr>
      </w:pPr>
    </w:p>
    <w:p w:rsidR="00067B91" w:rsidRDefault="00067B91" w:rsidP="00067B91">
      <w:pPr>
        <w:tabs>
          <w:tab w:val="left" w:pos="6804"/>
        </w:tabs>
        <w:spacing w:line="360" w:lineRule="auto"/>
        <w:ind w:firstLineChars="200" w:firstLine="640"/>
        <w:rPr>
          <w:rFonts w:ascii="黑体" w:eastAsia="黑体" w:hAnsi="黑体" w:cs="宋体" w:hint="eastAsia"/>
          <w:bCs/>
          <w:kern w:val="0"/>
          <w:sz w:val="32"/>
          <w:szCs w:val="32"/>
        </w:rPr>
      </w:pPr>
      <w:r>
        <w:rPr>
          <w:rFonts w:ascii="仿宋_GB2312" w:eastAsia="仿宋_GB2312" w:hAnsi="仿宋_GB2312" w:cs="仿宋_GB2312" w:hint="eastAsia"/>
          <w:kern w:val="0"/>
          <w:sz w:val="32"/>
          <w:szCs w:val="32"/>
        </w:rPr>
        <w:t>2017年，在以习近平同志为核心的党中央坚强领导下，住房公积金行业不断增强政治意识、大局意识、核心意识、看齐意识，深入贯彻落实党的十八大和十八届三中、四中、五中、六中全会精神，认真学习贯彻党的十九大精神，以习近平新时代中国特色社会主义思想为指导，以“房子是用来住的，不是用来炒的”为根本遵循，不断扩大住房公积金制度覆盖范围、加大对基本住房消费支持力度、提高管理效率和服务水平，为构建多主体供给、多渠道保障、租购并举的住房制度提供支持，住房公积金制度运行平稳。根据《住房公积金管理条例》和《住房城乡建设部 财政部 中国人民银行关于健全住房公积金信息披露制度的通知》（建金〔2015〕26号）有关规定，现将全国住房公积金2017年年度报告公布如下。</w:t>
      </w:r>
    </w:p>
    <w:p w:rsidR="00067B91" w:rsidRDefault="00067B91" w:rsidP="00067B91">
      <w:pPr>
        <w:tabs>
          <w:tab w:val="left" w:pos="6804"/>
        </w:tabs>
        <w:spacing w:line="360"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一、机构概况</w:t>
      </w:r>
    </w:p>
    <w:p w:rsidR="00067B91" w:rsidRDefault="00067B91" w:rsidP="00067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640"/>
        <w:rPr>
          <w:rFonts w:ascii="仿宋_GB2312" w:eastAsia="仿宋_GB2312" w:hAnsi="仿宋_GB2312" w:cs="仿宋_GB2312" w:hint="eastAsia"/>
          <w:kern w:val="0"/>
          <w:sz w:val="32"/>
          <w:szCs w:val="32"/>
          <w:highlight w:val="yellow"/>
        </w:rPr>
      </w:pPr>
      <w:r>
        <w:rPr>
          <w:rFonts w:ascii="仿宋_GB2312" w:eastAsia="仿宋_GB2312" w:hAnsi="仿宋_GB2312" w:cs="仿宋_GB2312" w:hint="eastAsia"/>
          <w:kern w:val="0"/>
          <w:sz w:val="32"/>
          <w:szCs w:val="32"/>
        </w:rPr>
        <w:t>（一）根据《住房公积金管理条例》规定，住房城乡建设部会同财政部、人民银行负责拟定住房公积金政策，并监督执行。住房城乡建设部设立住房公积金监管司，各省、自</w:t>
      </w:r>
      <w:r>
        <w:rPr>
          <w:rFonts w:ascii="仿宋_GB2312" w:eastAsia="仿宋_GB2312" w:hAnsi="仿宋_GB2312" w:cs="仿宋_GB2312" w:hint="eastAsia"/>
          <w:kern w:val="0"/>
          <w:sz w:val="32"/>
          <w:szCs w:val="32"/>
        </w:rPr>
        <w:lastRenderedPageBreak/>
        <w:t>治区住房城乡建设厅设立住房公积金监管处（办），分别负责全国、省（自治区）住房公积金日常监管工作。2017年末，部、省两级住房公积金专职监管人员共142人。</w:t>
      </w:r>
    </w:p>
    <w:p w:rsidR="00067B91" w:rsidRDefault="00067B91" w:rsidP="00067B91">
      <w:pPr>
        <w:adjustRightInd w:val="0"/>
        <w:spacing w:line="360" w:lineRule="auto"/>
        <w:ind w:firstLineChars="200" w:firstLine="640"/>
        <w:rPr>
          <w:rFonts w:ascii="仿宋_GB2312" w:eastAsia="仿宋_GB2312" w:hAnsi="仿宋_GB2312" w:cs="仿宋_GB2312" w:hint="eastAsia"/>
          <w:b/>
          <w:kern w:val="0"/>
          <w:sz w:val="32"/>
          <w:szCs w:val="32"/>
        </w:rPr>
      </w:pPr>
      <w:r>
        <w:rPr>
          <w:rFonts w:ascii="仿宋_GB2312" w:eastAsia="仿宋_GB2312" w:hAnsi="仿宋_GB2312" w:cs="仿宋_GB2312" w:hint="eastAsia"/>
          <w:kern w:val="0"/>
          <w:sz w:val="32"/>
          <w:szCs w:val="32"/>
        </w:rPr>
        <w:t>（二）直辖市和省、自治区人民政府所在地的市以及其他设区的市（地、州、盟）设立住房公积金管理委员会，作为住房公积金管理决策机构，负责在《住房公积金管理条例》框架内审议住房公积金决策事项，制定和调整住房公积金具体管理措施并监督实施。2017年末，全国共设有住房公积金管理委员会342个。</w:t>
      </w:r>
    </w:p>
    <w:p w:rsidR="00067B91" w:rsidRDefault="00067B91" w:rsidP="00067B91">
      <w:pPr>
        <w:adjustRightIn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直辖市和省、自治区人民政府所在地的市以及其他设区的市（地、州、盟）设立住房公积金管理中心，负责住房公积金的管理运作。2017年末，全国共设有住房公积金管理中心342个；未纳入设区城市统一管理的分支机构149个，其中，省直分支机构24个，石油、电力、煤炭等行业分支机构7</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个，区县分支机构4</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个。全国住房公积金服务网点3255个，实现服务全覆盖。全国住房公积金从业人员4.25万人，其中，在编2.69万人，非在编1.56万人。</w:t>
      </w:r>
    </w:p>
    <w:p w:rsidR="00067B91" w:rsidRDefault="00067B91" w:rsidP="00067B91">
      <w:pPr>
        <w:adjustRightIn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（四）按照人民银行的规定，住房公积金贷款、结算等金融业务委托住房公积金管理委员会指定的商业银行办理。各城市受委托商业银行主要为工商银行、农业银行、中国银行、建设银行、交通银行等。</w:t>
      </w:r>
    </w:p>
    <w:p w:rsidR="00067B91" w:rsidRDefault="00067B91" w:rsidP="00067B91">
      <w:pPr>
        <w:adjustRightInd w:val="0"/>
        <w:snapToGrid w:val="0"/>
        <w:spacing w:beforeLines="50" w:line="360" w:lineRule="auto"/>
        <w:ind w:firstLine="646"/>
        <w:rPr>
          <w:rFonts w:ascii="黑体" w:eastAsia="黑体" w:hAnsi="黑体" w:cs="宋体" w:hint="eastAsia"/>
          <w:bCs/>
          <w:kern w:val="0"/>
          <w:sz w:val="32"/>
          <w:szCs w:val="32"/>
        </w:rPr>
      </w:pPr>
      <w:r>
        <w:rPr>
          <w:rFonts w:ascii="黑体" w:eastAsia="黑体" w:hAnsi="黑体" w:cs="宋体" w:hint="eastAsia"/>
          <w:bCs/>
          <w:kern w:val="0"/>
          <w:sz w:val="32"/>
          <w:szCs w:val="32"/>
        </w:rPr>
        <w:t>二、业务运行情况</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lastRenderedPageBreak/>
        <w:t>（一）缴存。</w:t>
      </w:r>
      <w:r>
        <w:rPr>
          <w:rFonts w:ascii="仿宋_GB2312" w:eastAsia="仿宋_GB2312" w:hAnsi="仿宋_GB2312" w:cs="仿宋_GB2312" w:hint="eastAsia"/>
          <w:kern w:val="0"/>
          <w:sz w:val="32"/>
          <w:szCs w:val="32"/>
        </w:rPr>
        <w:t>2017年，住房公积金实缴单位262.33万个，实缴职工13737.22万人，分别比上年增长10.11%和5.15%。新开户单位37.69万个，新开户职工1828.</w:t>
      </w:r>
      <w:r>
        <w:rPr>
          <w:rFonts w:ascii="仿宋_GB2312" w:eastAsia="仿宋_GB2312" w:hAnsi="仿宋_GB2312" w:cs="仿宋_GB2312"/>
          <w:kern w:val="0"/>
          <w:sz w:val="32"/>
          <w:szCs w:val="32"/>
        </w:rPr>
        <w:t>28</w:t>
      </w:r>
      <w:r>
        <w:rPr>
          <w:rFonts w:ascii="仿宋_GB2312" w:eastAsia="仿宋_GB2312" w:hAnsi="仿宋_GB2312" w:cs="仿宋_GB2312" w:hint="eastAsia"/>
          <w:kern w:val="0"/>
          <w:sz w:val="32"/>
          <w:szCs w:val="32"/>
        </w:rPr>
        <w:t>万人。</w:t>
      </w:r>
    </w:p>
    <w:p w:rsidR="00067B91" w:rsidRDefault="00067B91" w:rsidP="00067B91">
      <w:pPr>
        <w:adjustRightInd w:val="0"/>
        <w:snapToGri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2017年，住房公积金缴存额18726.</w:t>
      </w:r>
      <w:r>
        <w:rPr>
          <w:rFonts w:ascii="仿宋_GB2312" w:eastAsia="仿宋_GB2312" w:hAnsi="仿宋_GB2312" w:cs="仿宋_GB2312"/>
          <w:kern w:val="0"/>
          <w:sz w:val="32"/>
          <w:szCs w:val="32"/>
        </w:rPr>
        <w:t>74</w:t>
      </w:r>
      <w:r>
        <w:rPr>
          <w:rFonts w:ascii="仿宋_GB2312" w:eastAsia="仿宋_GB2312" w:hAnsi="仿宋_GB2312" w:cs="仿宋_GB2312" w:hint="eastAsia"/>
          <w:kern w:val="0"/>
          <w:sz w:val="32"/>
          <w:szCs w:val="32"/>
        </w:rPr>
        <w:t>亿元，比上年增长13.06%。</w:t>
      </w:r>
    </w:p>
    <w:p w:rsidR="00067B91" w:rsidRDefault="00067B91" w:rsidP="00067B91">
      <w:pPr>
        <w:adjustRightInd w:val="0"/>
        <w:snapToGri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2017年末，住房公积金缴存总额</w:t>
      </w:r>
      <w:r>
        <w:rPr>
          <w:rFonts w:ascii="仿宋_GB2312" w:eastAsia="仿宋_GB2312" w:hAnsi="仿宋_GB2312" w:cs="仿宋_GB2312"/>
          <w:kern w:val="0"/>
          <w:sz w:val="32"/>
          <w:szCs w:val="32"/>
        </w:rPr>
        <w:t>124845.12</w:t>
      </w:r>
      <w:r>
        <w:rPr>
          <w:rFonts w:ascii="仿宋_GB2312" w:eastAsia="仿宋_GB2312" w:hAnsi="仿宋_GB2312" w:cs="仿宋_GB2312" w:hint="eastAsia"/>
          <w:kern w:val="0"/>
          <w:sz w:val="32"/>
          <w:szCs w:val="32"/>
        </w:rPr>
        <w:t>亿元，缴存余额</w:t>
      </w:r>
      <w:r>
        <w:rPr>
          <w:rFonts w:ascii="仿宋_GB2312" w:eastAsia="仿宋_GB2312" w:hAnsi="仿宋_GB2312" w:cs="仿宋_GB2312"/>
          <w:kern w:val="0"/>
          <w:sz w:val="32"/>
          <w:szCs w:val="32"/>
        </w:rPr>
        <w:t>51620.74</w:t>
      </w:r>
      <w:r>
        <w:rPr>
          <w:rFonts w:ascii="仿宋_GB2312" w:eastAsia="仿宋_GB2312" w:hAnsi="仿宋_GB2312" w:cs="仿宋_GB2312" w:hint="eastAsia"/>
          <w:kern w:val="0"/>
          <w:sz w:val="32"/>
          <w:szCs w:val="32"/>
        </w:rPr>
        <w:t>亿元，分别比上年末增长17.6</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%和13.1</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p>
    <w:p w:rsidR="00067B91" w:rsidRDefault="00067B91" w:rsidP="00067B91">
      <w:pPr>
        <w:keepNext/>
        <w:adjustRightInd w:val="0"/>
        <w:snapToGrid w:val="0"/>
        <w:spacing w:beforeLines="100" w:line="360" w:lineRule="auto"/>
        <w:jc w:val="center"/>
        <w:rPr>
          <w:rFonts w:ascii="宋体" w:hAnsi="宋体" w:cs="宋体"/>
          <w:b/>
          <w:bCs/>
          <w:kern w:val="0"/>
          <w:sz w:val="30"/>
          <w:szCs w:val="30"/>
        </w:rPr>
      </w:pPr>
      <w:r>
        <w:rPr>
          <w:rFonts w:ascii="宋体" w:hAnsi="宋体" w:cs="宋体" w:hint="eastAsia"/>
          <w:b/>
          <w:bCs/>
          <w:kern w:val="0"/>
          <w:sz w:val="30"/>
          <w:szCs w:val="30"/>
        </w:rPr>
        <w:t xml:space="preserve">表1  </w:t>
      </w:r>
      <w:r>
        <w:rPr>
          <w:rFonts w:ascii="宋体" w:hAnsi="宋体" w:cs="宋体"/>
          <w:b/>
          <w:bCs/>
          <w:kern w:val="0"/>
          <w:sz w:val="30"/>
          <w:szCs w:val="30"/>
        </w:rPr>
        <w:t>201</w:t>
      </w:r>
      <w:r>
        <w:rPr>
          <w:rFonts w:ascii="宋体" w:hAnsi="宋体" w:cs="宋体" w:hint="eastAsia"/>
          <w:b/>
          <w:bCs/>
          <w:kern w:val="0"/>
          <w:sz w:val="30"/>
          <w:szCs w:val="30"/>
        </w:rPr>
        <w:t>7年各地区住房公积金缴存情况</w:t>
      </w:r>
    </w:p>
    <w:tbl>
      <w:tblPr>
        <w:tblW w:w="0" w:type="auto"/>
        <w:jc w:val="center"/>
        <w:tblLayout w:type="fixed"/>
        <w:tblCellMar>
          <w:left w:w="0" w:type="dxa"/>
          <w:right w:w="0" w:type="dxa"/>
        </w:tblCellMar>
        <w:tblLook w:val="0000"/>
      </w:tblPr>
      <w:tblGrid>
        <w:gridCol w:w="1221"/>
        <w:gridCol w:w="1362"/>
        <w:gridCol w:w="1352"/>
        <w:gridCol w:w="1538"/>
        <w:gridCol w:w="1296"/>
        <w:gridCol w:w="1394"/>
      </w:tblGrid>
      <w:tr w:rsidR="00067B91" w:rsidTr="00CC77AB">
        <w:trPr>
          <w:trHeight w:val="744"/>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b/>
                <w:bCs/>
                <w:kern w:val="0"/>
                <w:sz w:val="24"/>
                <w:szCs w:val="24"/>
              </w:rPr>
            </w:pPr>
            <w:r>
              <w:rPr>
                <w:rFonts w:ascii="宋体" w:hAnsi="宋体" w:cs="宋体" w:hint="eastAsia"/>
                <w:b/>
                <w:bCs/>
                <w:kern w:val="0"/>
                <w:sz w:val="24"/>
                <w:szCs w:val="24"/>
              </w:rPr>
              <w:t>地区</w:t>
            </w:r>
          </w:p>
        </w:tc>
        <w:tc>
          <w:tcPr>
            <w:tcW w:w="1362" w:type="dxa"/>
            <w:tcBorders>
              <w:top w:val="single" w:sz="8" w:space="0" w:color="auto"/>
              <w:left w:val="single" w:sz="8" w:space="0" w:color="auto"/>
              <w:right w:val="single" w:sz="8" w:space="0" w:color="auto"/>
            </w:tcBorders>
            <w:vAlign w:val="center"/>
          </w:tcPr>
          <w:p w:rsidR="00067B91" w:rsidRDefault="00067B91" w:rsidP="00CC77AB">
            <w:pPr>
              <w:widowControl/>
              <w:jc w:val="center"/>
              <w:rPr>
                <w:rFonts w:ascii="宋体" w:hAnsi="宋体" w:cs="宋体" w:hint="eastAsia"/>
                <w:b/>
                <w:bCs/>
                <w:kern w:val="0"/>
                <w:sz w:val="22"/>
              </w:rPr>
            </w:pPr>
            <w:r>
              <w:rPr>
                <w:rFonts w:ascii="宋体" w:hAnsi="宋体" w:cs="宋体" w:hint="eastAsia"/>
                <w:b/>
                <w:bCs/>
                <w:kern w:val="0"/>
                <w:sz w:val="22"/>
              </w:rPr>
              <w:t>实缴单位</w:t>
            </w:r>
          </w:p>
          <w:p w:rsidR="00067B91" w:rsidRDefault="00067B91" w:rsidP="00CC77AB">
            <w:pPr>
              <w:widowControl/>
              <w:jc w:val="center"/>
              <w:rPr>
                <w:rFonts w:ascii="宋体" w:hAnsi="宋体" w:cs="宋体"/>
                <w:b/>
                <w:bCs/>
                <w:kern w:val="0"/>
                <w:sz w:val="22"/>
              </w:rPr>
            </w:pPr>
            <w:r>
              <w:rPr>
                <w:rFonts w:ascii="宋体" w:hAnsi="宋体" w:cs="宋体" w:hint="eastAsia"/>
                <w:b/>
                <w:bCs/>
                <w:kern w:val="0"/>
                <w:sz w:val="22"/>
              </w:rPr>
              <w:t>（万个）</w:t>
            </w:r>
          </w:p>
        </w:tc>
        <w:tc>
          <w:tcPr>
            <w:tcW w:w="1352" w:type="dxa"/>
            <w:tcBorders>
              <w:top w:val="single" w:sz="8" w:space="0" w:color="auto"/>
              <w:left w:val="single" w:sz="8" w:space="0" w:color="auto"/>
              <w:right w:val="single" w:sz="8" w:space="0" w:color="auto"/>
            </w:tcBorders>
            <w:vAlign w:val="center"/>
          </w:tcPr>
          <w:p w:rsidR="00067B91" w:rsidRDefault="00067B91" w:rsidP="00CC77AB">
            <w:pPr>
              <w:widowControl/>
              <w:jc w:val="center"/>
              <w:rPr>
                <w:rFonts w:ascii="宋体" w:hAnsi="宋体" w:cs="宋体" w:hint="eastAsia"/>
                <w:b/>
                <w:bCs/>
                <w:kern w:val="0"/>
                <w:sz w:val="22"/>
              </w:rPr>
            </w:pPr>
            <w:r>
              <w:rPr>
                <w:rFonts w:ascii="宋体" w:hAnsi="宋体" w:cs="宋体" w:hint="eastAsia"/>
                <w:b/>
                <w:bCs/>
                <w:kern w:val="0"/>
                <w:sz w:val="22"/>
              </w:rPr>
              <w:t>实缴职工</w:t>
            </w:r>
          </w:p>
          <w:p w:rsidR="00067B91" w:rsidRDefault="00067B91" w:rsidP="00CC77AB">
            <w:pPr>
              <w:widowControl/>
              <w:jc w:val="center"/>
              <w:rPr>
                <w:rFonts w:ascii="宋体" w:hAnsi="宋体" w:cs="宋体"/>
                <w:b/>
                <w:bCs/>
                <w:kern w:val="0"/>
                <w:sz w:val="22"/>
              </w:rPr>
            </w:pPr>
            <w:r>
              <w:rPr>
                <w:rFonts w:ascii="宋体" w:hAnsi="宋体" w:cs="宋体" w:hint="eastAsia"/>
                <w:b/>
                <w:bCs/>
                <w:kern w:val="0"/>
                <w:sz w:val="22"/>
              </w:rPr>
              <w:t>（万人）</w:t>
            </w:r>
          </w:p>
        </w:tc>
        <w:tc>
          <w:tcPr>
            <w:tcW w:w="1538" w:type="dxa"/>
            <w:tcBorders>
              <w:top w:val="single" w:sz="8" w:space="0" w:color="auto"/>
              <w:left w:val="single" w:sz="8" w:space="0" w:color="auto"/>
              <w:right w:val="single" w:sz="8" w:space="0" w:color="auto"/>
            </w:tcBorders>
            <w:vAlign w:val="center"/>
          </w:tcPr>
          <w:p w:rsidR="00067B91" w:rsidRDefault="00067B91" w:rsidP="00CC77AB">
            <w:pPr>
              <w:widowControl/>
              <w:jc w:val="center"/>
              <w:rPr>
                <w:rFonts w:ascii="宋体" w:hAnsi="宋体" w:cs="宋体" w:hint="eastAsia"/>
                <w:b/>
                <w:bCs/>
                <w:kern w:val="0"/>
                <w:sz w:val="22"/>
              </w:rPr>
            </w:pPr>
            <w:r>
              <w:rPr>
                <w:rFonts w:ascii="宋体" w:hAnsi="宋体" w:cs="宋体" w:hint="eastAsia"/>
                <w:b/>
                <w:bCs/>
                <w:kern w:val="0"/>
                <w:sz w:val="22"/>
              </w:rPr>
              <w:t>缴存额</w:t>
            </w:r>
          </w:p>
          <w:p w:rsidR="00067B91" w:rsidRDefault="00067B91" w:rsidP="00CC77AB">
            <w:pPr>
              <w:widowControl/>
              <w:jc w:val="center"/>
              <w:rPr>
                <w:rFonts w:ascii="宋体" w:hAnsi="宋体" w:cs="宋体"/>
                <w:b/>
                <w:bCs/>
                <w:kern w:val="0"/>
                <w:sz w:val="22"/>
              </w:rPr>
            </w:pPr>
            <w:r>
              <w:rPr>
                <w:rFonts w:ascii="宋体" w:hAnsi="宋体" w:cs="宋体" w:hint="eastAsia"/>
                <w:b/>
                <w:bCs/>
                <w:kern w:val="0"/>
                <w:sz w:val="22"/>
              </w:rPr>
              <w:t>（亿元）</w:t>
            </w:r>
          </w:p>
        </w:tc>
        <w:tc>
          <w:tcPr>
            <w:tcW w:w="1296" w:type="dxa"/>
            <w:tcBorders>
              <w:top w:val="single" w:sz="8" w:space="0" w:color="auto"/>
              <w:left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b/>
                <w:bCs/>
                <w:kern w:val="0"/>
                <w:sz w:val="22"/>
              </w:rPr>
            </w:pPr>
            <w:r>
              <w:rPr>
                <w:rFonts w:ascii="宋体" w:hAnsi="宋体" w:cs="宋体" w:hint="eastAsia"/>
                <w:b/>
                <w:bCs/>
                <w:kern w:val="0"/>
                <w:sz w:val="22"/>
              </w:rPr>
              <w:t>缴存总额</w:t>
            </w:r>
          </w:p>
          <w:p w:rsidR="00067B91" w:rsidRDefault="00067B91" w:rsidP="00CC77AB">
            <w:pPr>
              <w:widowControl/>
              <w:jc w:val="center"/>
              <w:rPr>
                <w:rFonts w:ascii="宋体" w:hAnsi="宋体" w:cs="宋体"/>
                <w:b/>
                <w:bCs/>
                <w:kern w:val="0"/>
                <w:sz w:val="22"/>
              </w:rPr>
            </w:pPr>
            <w:r>
              <w:rPr>
                <w:rFonts w:ascii="宋体" w:hAnsi="宋体" w:cs="宋体" w:hint="eastAsia"/>
                <w:b/>
                <w:bCs/>
                <w:kern w:val="0"/>
                <w:sz w:val="22"/>
              </w:rPr>
              <w:t>（亿元）</w:t>
            </w:r>
          </w:p>
        </w:tc>
        <w:tc>
          <w:tcPr>
            <w:tcW w:w="1394" w:type="dxa"/>
            <w:tcBorders>
              <w:top w:val="single" w:sz="8" w:space="0" w:color="auto"/>
              <w:left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宋体" w:hAnsi="宋体" w:cs="宋体"/>
                <w:b/>
                <w:bCs/>
                <w:kern w:val="0"/>
                <w:sz w:val="22"/>
              </w:rPr>
            </w:pPr>
            <w:r>
              <w:rPr>
                <w:rFonts w:ascii="宋体" w:hAnsi="宋体" w:cs="宋体" w:hint="eastAsia"/>
                <w:b/>
                <w:bCs/>
                <w:kern w:val="0"/>
                <w:sz w:val="22"/>
              </w:rPr>
              <w:t>缴存余额（亿元）</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b/>
                <w:bCs/>
                <w:kern w:val="0"/>
                <w:sz w:val="22"/>
              </w:rPr>
            </w:pPr>
            <w:r>
              <w:rPr>
                <w:rFonts w:ascii="宋体" w:hAnsi="宋体" w:cs="宋体" w:hint="eastAsia"/>
                <w:b/>
                <w:bCs/>
                <w:kern w:val="0"/>
                <w:sz w:val="22"/>
              </w:rPr>
              <w:t>全国</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 xml:space="preserve">262.33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 xml:space="preserve">13737.22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18726.</w:t>
            </w:r>
            <w:r>
              <w:rPr>
                <w:rFonts w:ascii="仿宋" w:eastAsia="仿宋" w:hAnsi="仿宋" w:cs="宋体"/>
                <w:b/>
                <w:bCs/>
                <w:color w:val="000000"/>
                <w:kern w:val="0"/>
                <w:sz w:val="22"/>
              </w:rPr>
              <w:t>74</w:t>
            </w:r>
            <w:r>
              <w:rPr>
                <w:rFonts w:ascii="仿宋" w:eastAsia="仿宋" w:hAnsi="仿宋" w:cs="宋体" w:hint="eastAsia"/>
                <w:b/>
                <w:bCs/>
                <w:color w:val="000000"/>
                <w:kern w:val="0"/>
                <w:sz w:val="22"/>
              </w:rPr>
              <w:t xml:space="preserve">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1248</w:t>
            </w:r>
            <w:r>
              <w:rPr>
                <w:rFonts w:ascii="仿宋" w:eastAsia="仿宋" w:hAnsi="仿宋" w:cs="宋体"/>
                <w:b/>
                <w:bCs/>
                <w:color w:val="000000"/>
                <w:kern w:val="0"/>
                <w:sz w:val="22"/>
              </w:rPr>
              <w:t>45</w:t>
            </w:r>
            <w:r>
              <w:rPr>
                <w:rFonts w:ascii="仿宋" w:eastAsia="仿宋" w:hAnsi="仿宋" w:cs="宋体" w:hint="eastAsia"/>
                <w:b/>
                <w:bCs/>
                <w:color w:val="000000"/>
                <w:kern w:val="0"/>
                <w:sz w:val="22"/>
              </w:rPr>
              <w:t>.</w:t>
            </w:r>
            <w:r>
              <w:rPr>
                <w:rFonts w:ascii="仿宋" w:eastAsia="仿宋" w:hAnsi="仿宋" w:cs="宋体"/>
                <w:b/>
                <w:bCs/>
                <w:color w:val="000000"/>
                <w:kern w:val="0"/>
                <w:sz w:val="22"/>
              </w:rPr>
              <w:t>12</w:t>
            </w:r>
            <w:r>
              <w:rPr>
                <w:rFonts w:ascii="仿宋" w:eastAsia="仿宋" w:hAnsi="仿宋" w:cs="宋体" w:hint="eastAsia"/>
                <w:b/>
                <w:bCs/>
                <w:color w:val="000000"/>
                <w:kern w:val="0"/>
                <w:sz w:val="22"/>
              </w:rPr>
              <w:t xml:space="preserve">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516</w:t>
            </w:r>
            <w:r>
              <w:rPr>
                <w:rFonts w:ascii="仿宋" w:eastAsia="仿宋" w:hAnsi="仿宋" w:cs="宋体"/>
                <w:b/>
                <w:bCs/>
                <w:color w:val="000000"/>
                <w:kern w:val="0"/>
                <w:sz w:val="22"/>
              </w:rPr>
              <w:t>20</w:t>
            </w:r>
            <w:r>
              <w:rPr>
                <w:rFonts w:ascii="仿宋" w:eastAsia="仿宋" w:hAnsi="仿宋" w:cs="宋体" w:hint="eastAsia"/>
                <w:b/>
                <w:bCs/>
                <w:color w:val="000000"/>
                <w:kern w:val="0"/>
                <w:sz w:val="22"/>
              </w:rPr>
              <w:t>.7</w:t>
            </w:r>
            <w:r>
              <w:rPr>
                <w:rFonts w:ascii="仿宋" w:eastAsia="仿宋" w:hAnsi="仿宋" w:cs="宋体"/>
                <w:b/>
                <w:bCs/>
                <w:color w:val="000000"/>
                <w:kern w:val="0"/>
                <w:sz w:val="22"/>
              </w:rPr>
              <w:t>4</w:t>
            </w:r>
            <w:r>
              <w:rPr>
                <w:rFonts w:ascii="仿宋" w:eastAsia="仿宋" w:hAnsi="仿宋" w:cs="宋体" w:hint="eastAsia"/>
                <w:b/>
                <w:bCs/>
                <w:color w:val="000000"/>
                <w:kern w:val="0"/>
                <w:sz w:val="22"/>
              </w:rPr>
              <w:t xml:space="preserve">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北京</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15.83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732.23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1711.59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11116.27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3719.37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天津</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5.71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260.95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436.28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3481.41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1232.80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河北</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5.58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477.99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545.88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3854.02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1778.10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山西</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4.42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336.96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356.44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2365.3</w:t>
            </w:r>
            <w:r>
              <w:rPr>
                <w:rFonts w:ascii="仿宋" w:eastAsia="仿宋" w:hAnsi="仿宋" w:cs="宋体"/>
                <w:color w:val="000000"/>
                <w:kern w:val="0"/>
                <w:sz w:val="22"/>
              </w:rPr>
              <w:t>9</w:t>
            </w:r>
            <w:r>
              <w:rPr>
                <w:rFonts w:ascii="仿宋" w:eastAsia="仿宋" w:hAnsi="仿宋" w:cs="宋体" w:hint="eastAsia"/>
                <w:color w:val="000000"/>
                <w:kern w:val="0"/>
                <w:sz w:val="22"/>
              </w:rPr>
              <w:t xml:space="preserve">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911.14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内蒙古</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3.70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230.76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345.33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2324.36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1170.93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辽宁</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8.46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476.56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702.9</w:t>
            </w:r>
            <w:r>
              <w:rPr>
                <w:rFonts w:ascii="仿宋" w:eastAsia="仿宋" w:hAnsi="仿宋" w:cs="宋体"/>
                <w:color w:val="000000"/>
                <w:kern w:val="0"/>
                <w:sz w:val="22"/>
              </w:rPr>
              <w:t>7</w:t>
            </w:r>
            <w:r>
              <w:rPr>
                <w:rFonts w:ascii="仿宋" w:eastAsia="仿宋" w:hAnsi="仿宋" w:cs="宋体" w:hint="eastAsia"/>
                <w:color w:val="000000"/>
                <w:kern w:val="0"/>
                <w:sz w:val="22"/>
              </w:rPr>
              <w:t xml:space="preserve">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5691.72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2263.1</w:t>
            </w:r>
            <w:r>
              <w:rPr>
                <w:rFonts w:ascii="仿宋" w:eastAsia="仿宋" w:hAnsi="仿宋" w:cs="宋体"/>
                <w:color w:val="000000"/>
                <w:kern w:val="0"/>
                <w:sz w:val="22"/>
              </w:rPr>
              <w:t>1</w:t>
            </w:r>
            <w:r>
              <w:rPr>
                <w:rFonts w:ascii="仿宋" w:eastAsia="仿宋" w:hAnsi="仿宋" w:cs="宋体" w:hint="eastAsia"/>
                <w:color w:val="000000"/>
                <w:kern w:val="0"/>
                <w:sz w:val="22"/>
              </w:rPr>
              <w:t xml:space="preserve">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吉林</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3.61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239.43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297.94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2163.43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1017.82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黑龙江</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3.81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281.69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375.92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2835.30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1283.38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上海</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35.24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809.91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1133.69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8248.83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3578.39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江苏</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26.6</w:t>
            </w:r>
            <w:r>
              <w:rPr>
                <w:rFonts w:ascii="仿宋" w:eastAsia="仿宋" w:hAnsi="仿宋" w:cs="宋体"/>
                <w:color w:val="000000"/>
                <w:kern w:val="0"/>
                <w:sz w:val="22"/>
              </w:rPr>
              <w:t>5</w:t>
            </w:r>
            <w:r>
              <w:rPr>
                <w:rFonts w:ascii="仿宋" w:eastAsia="仿宋" w:hAnsi="仿宋" w:cs="宋体" w:hint="eastAsia"/>
                <w:color w:val="000000"/>
                <w:kern w:val="0"/>
                <w:sz w:val="22"/>
              </w:rPr>
              <w:t xml:space="preserve">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1232.35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1562.51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10013.24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3850.16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浙江</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19.54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716.28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1191.01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7991.13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2866.85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安徽</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5.65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405.37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546.28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4187.27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1513.12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福建</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10.53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374.02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523.77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3530.81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1375.06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江西</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4.46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258.20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346.92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1971.63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1038.74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山东</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12.9</w:t>
            </w:r>
            <w:r>
              <w:rPr>
                <w:rFonts w:ascii="仿宋" w:eastAsia="仿宋" w:hAnsi="仿宋" w:cs="宋体"/>
                <w:color w:val="000000"/>
                <w:kern w:val="0"/>
                <w:sz w:val="22"/>
              </w:rPr>
              <w:t>9</w:t>
            </w:r>
            <w:r>
              <w:rPr>
                <w:rFonts w:ascii="仿宋" w:eastAsia="仿宋" w:hAnsi="仿宋" w:cs="宋体" w:hint="eastAsia"/>
                <w:color w:val="000000"/>
                <w:kern w:val="0"/>
                <w:sz w:val="22"/>
              </w:rPr>
              <w:t xml:space="preserve">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894.06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1042.01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6857.75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3099.63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河南</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7.5</w:t>
            </w:r>
            <w:r>
              <w:rPr>
                <w:rFonts w:ascii="仿宋" w:eastAsia="仿宋" w:hAnsi="仿宋" w:cs="宋体"/>
                <w:color w:val="000000"/>
                <w:kern w:val="0"/>
                <w:sz w:val="22"/>
              </w:rPr>
              <w:t>5</w:t>
            </w:r>
            <w:r>
              <w:rPr>
                <w:rFonts w:ascii="仿宋" w:eastAsia="仿宋" w:hAnsi="仿宋" w:cs="宋体" w:hint="eastAsia"/>
                <w:color w:val="000000"/>
                <w:kern w:val="0"/>
                <w:sz w:val="22"/>
              </w:rPr>
              <w:t xml:space="preserve">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736.0</w:t>
            </w:r>
            <w:r>
              <w:rPr>
                <w:rFonts w:ascii="仿宋" w:eastAsia="仿宋" w:hAnsi="仿宋" w:cs="宋体"/>
                <w:color w:val="000000"/>
                <w:kern w:val="0"/>
                <w:sz w:val="22"/>
              </w:rPr>
              <w:t>9</w:t>
            </w:r>
            <w:r>
              <w:rPr>
                <w:rFonts w:ascii="仿宋" w:eastAsia="仿宋" w:hAnsi="仿宋" w:cs="宋体" w:hint="eastAsia"/>
                <w:color w:val="000000"/>
                <w:kern w:val="0"/>
                <w:sz w:val="22"/>
              </w:rPr>
              <w:t xml:space="preserve">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603.6</w:t>
            </w:r>
            <w:r>
              <w:rPr>
                <w:rFonts w:ascii="仿宋" w:eastAsia="仿宋" w:hAnsi="仿宋" w:cs="宋体"/>
                <w:color w:val="000000"/>
                <w:kern w:val="0"/>
                <w:sz w:val="22"/>
              </w:rPr>
              <w:t>7</w:t>
            </w:r>
            <w:r>
              <w:rPr>
                <w:rFonts w:ascii="仿宋" w:eastAsia="仿宋" w:hAnsi="仿宋" w:cs="宋体" w:hint="eastAsia"/>
                <w:color w:val="000000"/>
                <w:kern w:val="0"/>
                <w:sz w:val="22"/>
              </w:rPr>
              <w:t xml:space="preserve">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3860.69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1907.77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湖北</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6.83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465.33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666.91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4034.02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2024.75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lastRenderedPageBreak/>
              <w:t>湖南</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6.06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405.48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530.46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3194.4</w:t>
            </w:r>
            <w:r>
              <w:rPr>
                <w:rFonts w:ascii="仿宋" w:eastAsia="仿宋" w:hAnsi="仿宋" w:cs="宋体"/>
                <w:color w:val="000000"/>
                <w:kern w:val="0"/>
                <w:sz w:val="22"/>
              </w:rPr>
              <w:t>6</w:t>
            </w:r>
            <w:r>
              <w:rPr>
                <w:rFonts w:ascii="仿宋" w:eastAsia="仿宋" w:hAnsi="仿宋" w:cs="宋体" w:hint="eastAsia"/>
                <w:color w:val="000000"/>
                <w:kern w:val="0"/>
                <w:sz w:val="22"/>
              </w:rPr>
              <w:t xml:space="preserve">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1621.57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广东</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32.11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1788.57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2035.20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12970.41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4665.83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广西</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5.05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279.82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377.65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2503.18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995.93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海南</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2.36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99.58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110.83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704.91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339.40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重庆</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3.21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246.40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337.68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2103.35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893.12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四川</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10.37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598.08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878.01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5417.74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2422.4</w:t>
            </w:r>
            <w:r>
              <w:rPr>
                <w:rFonts w:ascii="仿宋" w:eastAsia="仿宋" w:hAnsi="仿宋" w:cs="宋体"/>
                <w:color w:val="000000"/>
                <w:kern w:val="0"/>
                <w:sz w:val="22"/>
              </w:rPr>
              <w:t>9</w:t>
            </w:r>
            <w:r>
              <w:rPr>
                <w:rFonts w:ascii="仿宋" w:eastAsia="仿宋" w:hAnsi="仿宋" w:cs="宋体" w:hint="eastAsia"/>
                <w:color w:val="000000"/>
                <w:kern w:val="0"/>
                <w:sz w:val="22"/>
              </w:rPr>
              <w:t xml:space="preserve">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贵州</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3.87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238.04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315.</w:t>
            </w:r>
            <w:r>
              <w:rPr>
                <w:rFonts w:ascii="仿宋" w:eastAsia="仿宋" w:hAnsi="仿宋" w:cs="宋体"/>
                <w:color w:val="000000"/>
                <w:kern w:val="0"/>
                <w:sz w:val="22"/>
              </w:rPr>
              <w:t>99</w:t>
            </w:r>
            <w:r>
              <w:rPr>
                <w:rFonts w:ascii="仿宋" w:eastAsia="仿宋" w:hAnsi="仿宋" w:cs="宋体" w:hint="eastAsia"/>
                <w:color w:val="000000"/>
                <w:kern w:val="0"/>
                <w:sz w:val="22"/>
              </w:rPr>
              <w:t xml:space="preserve">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1695.15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865.91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云南</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4.76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257.20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465.45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2947.3</w:t>
            </w:r>
            <w:r>
              <w:rPr>
                <w:rFonts w:ascii="仿宋" w:eastAsia="仿宋" w:hAnsi="仿宋" w:cs="宋体"/>
                <w:color w:val="000000"/>
                <w:kern w:val="0"/>
                <w:sz w:val="22"/>
              </w:rPr>
              <w:t>8</w:t>
            </w:r>
            <w:r>
              <w:rPr>
                <w:rFonts w:ascii="仿宋" w:eastAsia="仿宋" w:hAnsi="仿宋" w:cs="宋体" w:hint="eastAsia"/>
                <w:color w:val="000000"/>
                <w:kern w:val="0"/>
                <w:sz w:val="22"/>
              </w:rPr>
              <w:t xml:space="preserve">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1297.3</w:t>
            </w:r>
            <w:r>
              <w:rPr>
                <w:rFonts w:ascii="仿宋" w:eastAsia="仿宋" w:hAnsi="仿宋" w:cs="宋体"/>
                <w:color w:val="000000"/>
                <w:kern w:val="0"/>
                <w:sz w:val="22"/>
              </w:rPr>
              <w:t>5</w:t>
            </w:r>
            <w:r>
              <w:rPr>
                <w:rFonts w:ascii="仿宋" w:eastAsia="仿宋" w:hAnsi="仿宋" w:cs="宋体" w:hint="eastAsia"/>
                <w:color w:val="000000"/>
                <w:kern w:val="0"/>
                <w:sz w:val="22"/>
              </w:rPr>
              <w:t xml:space="preserve">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西藏</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0.41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32.78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73.70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407.32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220.63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陕西</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5.27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367.74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400.13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277</w:t>
            </w:r>
            <w:r>
              <w:rPr>
                <w:rFonts w:ascii="仿宋" w:eastAsia="仿宋" w:hAnsi="仿宋" w:cs="宋体"/>
                <w:color w:val="000000"/>
                <w:kern w:val="0"/>
                <w:sz w:val="22"/>
              </w:rPr>
              <w:t>7</w:t>
            </w:r>
            <w:r>
              <w:rPr>
                <w:rFonts w:ascii="仿宋" w:eastAsia="仿宋" w:hAnsi="仿宋" w:cs="宋体" w:hint="eastAsia"/>
                <w:color w:val="000000"/>
                <w:kern w:val="0"/>
                <w:sz w:val="22"/>
              </w:rPr>
              <w:t>.</w:t>
            </w:r>
            <w:r>
              <w:rPr>
                <w:rFonts w:ascii="仿宋" w:eastAsia="仿宋" w:hAnsi="仿宋" w:cs="宋体"/>
                <w:color w:val="000000"/>
                <w:kern w:val="0"/>
                <w:sz w:val="22"/>
              </w:rPr>
              <w:t>2</w:t>
            </w:r>
            <w:r>
              <w:rPr>
                <w:rFonts w:ascii="仿宋" w:eastAsia="仿宋" w:hAnsi="仿宋" w:cs="宋体" w:hint="eastAsia"/>
                <w:color w:val="000000"/>
                <w:kern w:val="0"/>
                <w:sz w:val="22"/>
              </w:rPr>
              <w:t xml:space="preserve">1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114</w:t>
            </w:r>
            <w:r>
              <w:rPr>
                <w:rFonts w:ascii="仿宋" w:eastAsia="仿宋" w:hAnsi="仿宋" w:cs="宋体"/>
                <w:color w:val="000000"/>
                <w:kern w:val="0"/>
                <w:sz w:val="22"/>
              </w:rPr>
              <w:t>8</w:t>
            </w:r>
            <w:r>
              <w:rPr>
                <w:rFonts w:ascii="仿宋" w:eastAsia="仿宋" w:hAnsi="仿宋" w:cs="宋体" w:hint="eastAsia"/>
                <w:color w:val="000000"/>
                <w:kern w:val="0"/>
                <w:sz w:val="22"/>
              </w:rPr>
              <w:t>.4</w:t>
            </w:r>
            <w:r>
              <w:rPr>
                <w:rFonts w:ascii="仿宋" w:eastAsia="仿宋" w:hAnsi="仿宋" w:cs="宋体"/>
                <w:color w:val="000000"/>
                <w:kern w:val="0"/>
                <w:sz w:val="22"/>
              </w:rPr>
              <w:t>2</w:t>
            </w:r>
            <w:r>
              <w:rPr>
                <w:rFonts w:ascii="仿宋" w:eastAsia="仿宋" w:hAnsi="仿宋" w:cs="宋体" w:hint="eastAsia"/>
                <w:color w:val="000000"/>
                <w:kern w:val="0"/>
                <w:sz w:val="22"/>
              </w:rPr>
              <w:t xml:space="preserve">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甘肃</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3.09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181.90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249.88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1686.23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882.17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青海</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0.84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49.64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94.8</w:t>
            </w:r>
            <w:r>
              <w:rPr>
                <w:rFonts w:ascii="仿宋" w:eastAsia="仿宋" w:hAnsi="仿宋" w:cs="宋体"/>
                <w:color w:val="000000"/>
                <w:kern w:val="0"/>
                <w:sz w:val="22"/>
              </w:rPr>
              <w:t>2</w:t>
            </w:r>
            <w:r>
              <w:rPr>
                <w:rFonts w:ascii="仿宋" w:eastAsia="仿宋" w:hAnsi="仿宋" w:cs="宋体" w:hint="eastAsia"/>
                <w:color w:val="000000"/>
                <w:kern w:val="0"/>
                <w:sz w:val="22"/>
              </w:rPr>
              <w:t xml:space="preserve">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656.32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288.73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宁夏</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0.94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59.57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95.25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688.97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264.56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新疆</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3.15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177.65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337.05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235</w:t>
            </w:r>
            <w:r>
              <w:rPr>
                <w:rFonts w:ascii="仿宋" w:eastAsia="仿宋" w:hAnsi="仿宋" w:cs="宋体"/>
                <w:color w:val="000000"/>
                <w:kern w:val="0"/>
                <w:sz w:val="22"/>
              </w:rPr>
              <w:t>2</w:t>
            </w:r>
            <w:r>
              <w:rPr>
                <w:rFonts w:ascii="仿宋" w:eastAsia="仿宋" w:hAnsi="仿宋" w:cs="宋体" w:hint="eastAsia"/>
                <w:color w:val="000000"/>
                <w:kern w:val="0"/>
                <w:sz w:val="22"/>
              </w:rPr>
              <w:t>.</w:t>
            </w:r>
            <w:r>
              <w:rPr>
                <w:rFonts w:ascii="仿宋" w:eastAsia="仿宋" w:hAnsi="仿宋" w:cs="宋体"/>
                <w:color w:val="000000"/>
                <w:kern w:val="0"/>
                <w:sz w:val="22"/>
              </w:rPr>
              <w:t>43</w:t>
            </w:r>
            <w:r>
              <w:rPr>
                <w:rFonts w:ascii="仿宋" w:eastAsia="仿宋" w:hAnsi="仿宋" w:cs="宋体" w:hint="eastAsia"/>
                <w:color w:val="000000"/>
                <w:kern w:val="0"/>
                <w:sz w:val="22"/>
              </w:rPr>
              <w:t xml:space="preserve">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970.87 </w:t>
            </w:r>
          </w:p>
        </w:tc>
      </w:tr>
      <w:tr w:rsidR="00067B91" w:rsidTr="00CC77AB">
        <w:trPr>
          <w:trHeight w:val="420"/>
          <w:jc w:val="center"/>
        </w:trPr>
        <w:tc>
          <w:tcPr>
            <w:tcW w:w="122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新疆兵团</w:t>
            </w:r>
          </w:p>
        </w:tc>
        <w:tc>
          <w:tcPr>
            <w:tcW w:w="13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0.28 </w:t>
            </w:r>
          </w:p>
        </w:tc>
        <w:tc>
          <w:tcPr>
            <w:tcW w:w="135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26.59 </w:t>
            </w:r>
          </w:p>
        </w:tc>
        <w:tc>
          <w:tcPr>
            <w:tcW w:w="153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35.52 </w:t>
            </w:r>
          </w:p>
        </w:tc>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212.79 </w:t>
            </w:r>
          </w:p>
        </w:tc>
        <w:tc>
          <w:tcPr>
            <w:tcW w:w="139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112.64 </w:t>
            </w:r>
          </w:p>
        </w:tc>
      </w:tr>
    </w:tbl>
    <w:p w:rsidR="00067B91" w:rsidRDefault="00067B91" w:rsidP="00067B91">
      <w:pPr>
        <w:keepNext/>
        <w:adjustRightInd w:val="0"/>
        <w:snapToGrid w:val="0"/>
        <w:spacing w:beforeLines="150" w:line="360" w:lineRule="auto"/>
        <w:jc w:val="center"/>
        <w:rPr>
          <w:rFonts w:ascii="宋体" w:hAnsi="宋体" w:cs="宋体"/>
          <w:b/>
          <w:bCs/>
          <w:kern w:val="0"/>
          <w:sz w:val="30"/>
          <w:szCs w:val="30"/>
        </w:rPr>
      </w:pPr>
      <w:r>
        <w:rPr>
          <w:rFonts w:ascii="宋体" w:hAnsi="宋体" w:cs="宋体" w:hint="eastAsia"/>
          <w:b/>
          <w:bCs/>
          <w:kern w:val="0"/>
          <w:sz w:val="30"/>
          <w:szCs w:val="30"/>
        </w:rPr>
        <w:t>表2  2017年各类型单位住房公积金缴存情况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1922"/>
        <w:gridCol w:w="1139"/>
        <w:gridCol w:w="1051"/>
        <w:gridCol w:w="1198"/>
        <w:gridCol w:w="1010"/>
        <w:gridCol w:w="1355"/>
        <w:gridCol w:w="998"/>
      </w:tblGrid>
      <w:tr w:rsidR="00067B91" w:rsidTr="00CC77AB">
        <w:trPr>
          <w:cantSplit/>
          <w:trHeight w:hRule="exact" w:val="750"/>
          <w:jc w:val="center"/>
        </w:trPr>
        <w:tc>
          <w:tcPr>
            <w:tcW w:w="1922" w:type="dxa"/>
            <w:tcBorders>
              <w:left w:val="nil"/>
              <w:bottom w:val="single" w:sz="4" w:space="0" w:color="auto"/>
              <w:right w:val="single" w:sz="4" w:space="0" w:color="auto"/>
            </w:tcBorders>
            <w:vAlign w:val="center"/>
          </w:tcPr>
          <w:p w:rsidR="00067B91" w:rsidRDefault="00067B91" w:rsidP="00CC77AB">
            <w:pPr>
              <w:keepNext/>
              <w:autoSpaceDN w:val="0"/>
              <w:adjustRightInd w:val="0"/>
              <w:snapToGrid w:val="0"/>
              <w:jc w:val="center"/>
              <w:textAlignment w:val="center"/>
              <w:rPr>
                <w:rFonts w:ascii="宋体" w:hAnsi="宋体"/>
                <w:b/>
                <w:sz w:val="22"/>
              </w:rPr>
            </w:pPr>
            <w:r>
              <w:rPr>
                <w:rFonts w:ascii="宋体" w:hAnsi="宋体" w:hint="eastAsia"/>
                <w:b/>
                <w:sz w:val="22"/>
              </w:rPr>
              <w:t>单位性质</w:t>
            </w:r>
          </w:p>
        </w:tc>
        <w:tc>
          <w:tcPr>
            <w:tcW w:w="1139" w:type="dxa"/>
            <w:tcBorders>
              <w:left w:val="single" w:sz="4" w:space="0" w:color="auto"/>
              <w:bottom w:val="single" w:sz="4" w:space="0" w:color="auto"/>
              <w:right w:val="single" w:sz="4" w:space="0" w:color="auto"/>
            </w:tcBorders>
            <w:vAlign w:val="center"/>
          </w:tcPr>
          <w:p w:rsidR="00067B91" w:rsidRDefault="00067B91" w:rsidP="00CC77AB">
            <w:pPr>
              <w:keepNext/>
              <w:autoSpaceDN w:val="0"/>
              <w:adjustRightInd w:val="0"/>
              <w:snapToGrid w:val="0"/>
              <w:jc w:val="center"/>
              <w:textAlignment w:val="center"/>
              <w:rPr>
                <w:rFonts w:ascii="宋体" w:hAnsi="宋体"/>
                <w:b/>
                <w:sz w:val="22"/>
              </w:rPr>
            </w:pPr>
            <w:r>
              <w:rPr>
                <w:rFonts w:ascii="宋体" w:hAnsi="宋体" w:hint="eastAsia"/>
                <w:b/>
                <w:sz w:val="22"/>
              </w:rPr>
              <w:t>缴存单位（万个）</w:t>
            </w:r>
          </w:p>
        </w:tc>
        <w:tc>
          <w:tcPr>
            <w:tcW w:w="1051" w:type="dxa"/>
            <w:tcBorders>
              <w:left w:val="single" w:sz="4" w:space="0" w:color="auto"/>
              <w:bottom w:val="single" w:sz="4" w:space="0" w:color="auto"/>
              <w:right w:val="single" w:sz="4" w:space="0" w:color="auto"/>
            </w:tcBorders>
            <w:vAlign w:val="center"/>
          </w:tcPr>
          <w:p w:rsidR="00067B91" w:rsidRDefault="00067B91" w:rsidP="00CC77AB">
            <w:pPr>
              <w:keepNext/>
              <w:autoSpaceDN w:val="0"/>
              <w:adjustRightInd w:val="0"/>
              <w:snapToGrid w:val="0"/>
              <w:jc w:val="center"/>
              <w:textAlignment w:val="center"/>
              <w:rPr>
                <w:rFonts w:ascii="宋体" w:hAnsi="宋体" w:hint="eastAsia"/>
                <w:b/>
                <w:sz w:val="22"/>
              </w:rPr>
            </w:pPr>
            <w:r>
              <w:rPr>
                <w:rFonts w:ascii="宋体" w:hAnsi="宋体" w:hint="eastAsia"/>
                <w:b/>
                <w:sz w:val="22"/>
              </w:rPr>
              <w:t>占比</w:t>
            </w:r>
          </w:p>
          <w:p w:rsidR="00067B91" w:rsidRDefault="00067B91" w:rsidP="00CC77AB">
            <w:pPr>
              <w:keepNext/>
              <w:autoSpaceDN w:val="0"/>
              <w:adjustRightInd w:val="0"/>
              <w:snapToGrid w:val="0"/>
              <w:jc w:val="center"/>
              <w:textAlignment w:val="center"/>
              <w:rPr>
                <w:rFonts w:ascii="宋体" w:hAnsi="宋体" w:hint="eastAsia"/>
                <w:b/>
                <w:sz w:val="22"/>
              </w:rPr>
            </w:pPr>
            <w:r>
              <w:rPr>
                <w:rFonts w:ascii="宋体" w:hAnsi="宋体" w:hint="eastAsia"/>
                <w:b/>
                <w:sz w:val="22"/>
              </w:rPr>
              <w:t>（%）</w:t>
            </w:r>
          </w:p>
        </w:tc>
        <w:tc>
          <w:tcPr>
            <w:tcW w:w="1198" w:type="dxa"/>
            <w:tcBorders>
              <w:left w:val="single" w:sz="4" w:space="0" w:color="auto"/>
              <w:bottom w:val="single" w:sz="4" w:space="0" w:color="auto"/>
              <w:right w:val="single" w:sz="4" w:space="0" w:color="auto"/>
            </w:tcBorders>
            <w:vAlign w:val="center"/>
          </w:tcPr>
          <w:p w:rsidR="00067B91" w:rsidRDefault="00067B91" w:rsidP="00CC77AB">
            <w:pPr>
              <w:keepNext/>
              <w:autoSpaceDN w:val="0"/>
              <w:adjustRightInd w:val="0"/>
              <w:snapToGrid w:val="0"/>
              <w:jc w:val="center"/>
              <w:textAlignment w:val="center"/>
              <w:rPr>
                <w:rFonts w:ascii="宋体" w:hAnsi="宋体" w:hint="eastAsia"/>
                <w:b/>
                <w:sz w:val="22"/>
              </w:rPr>
            </w:pPr>
            <w:r>
              <w:rPr>
                <w:rFonts w:ascii="宋体" w:hAnsi="宋体" w:hint="eastAsia"/>
                <w:b/>
                <w:sz w:val="22"/>
              </w:rPr>
              <w:t>实缴职工</w:t>
            </w:r>
          </w:p>
          <w:p w:rsidR="00067B91" w:rsidRDefault="00067B91" w:rsidP="00CC77AB">
            <w:pPr>
              <w:keepNext/>
              <w:autoSpaceDN w:val="0"/>
              <w:adjustRightInd w:val="0"/>
              <w:snapToGrid w:val="0"/>
              <w:jc w:val="center"/>
              <w:textAlignment w:val="center"/>
              <w:rPr>
                <w:rFonts w:ascii="宋体" w:hAnsi="宋体" w:hint="eastAsia"/>
                <w:b/>
                <w:sz w:val="22"/>
              </w:rPr>
            </w:pPr>
            <w:r>
              <w:rPr>
                <w:rFonts w:ascii="宋体" w:hAnsi="宋体" w:hint="eastAsia"/>
                <w:b/>
                <w:sz w:val="22"/>
              </w:rPr>
              <w:t>（万人）</w:t>
            </w:r>
          </w:p>
        </w:tc>
        <w:tc>
          <w:tcPr>
            <w:tcW w:w="1010" w:type="dxa"/>
            <w:tcBorders>
              <w:left w:val="single" w:sz="4" w:space="0" w:color="auto"/>
              <w:bottom w:val="single" w:sz="4" w:space="0" w:color="auto"/>
              <w:right w:val="single" w:sz="4" w:space="0" w:color="auto"/>
            </w:tcBorders>
            <w:vAlign w:val="center"/>
          </w:tcPr>
          <w:p w:rsidR="00067B91" w:rsidRDefault="00067B91" w:rsidP="00CC77AB">
            <w:pPr>
              <w:keepNext/>
              <w:autoSpaceDN w:val="0"/>
              <w:adjustRightInd w:val="0"/>
              <w:snapToGrid w:val="0"/>
              <w:jc w:val="center"/>
              <w:textAlignment w:val="center"/>
              <w:rPr>
                <w:rFonts w:ascii="宋体" w:hAnsi="宋体" w:hint="eastAsia"/>
                <w:b/>
                <w:sz w:val="22"/>
              </w:rPr>
            </w:pPr>
            <w:r>
              <w:rPr>
                <w:rFonts w:ascii="宋体" w:hAnsi="宋体" w:hint="eastAsia"/>
                <w:b/>
                <w:sz w:val="22"/>
              </w:rPr>
              <w:t>占比</w:t>
            </w:r>
          </w:p>
          <w:p w:rsidR="00067B91" w:rsidRDefault="00067B91" w:rsidP="00CC77AB">
            <w:pPr>
              <w:keepNext/>
              <w:autoSpaceDN w:val="0"/>
              <w:adjustRightInd w:val="0"/>
              <w:snapToGrid w:val="0"/>
              <w:jc w:val="center"/>
              <w:textAlignment w:val="center"/>
              <w:rPr>
                <w:rFonts w:ascii="宋体" w:hAnsi="宋体" w:hint="eastAsia"/>
                <w:b/>
                <w:sz w:val="22"/>
              </w:rPr>
            </w:pPr>
            <w:r>
              <w:rPr>
                <w:rFonts w:ascii="宋体" w:hAnsi="宋体" w:hint="eastAsia"/>
                <w:b/>
                <w:sz w:val="22"/>
              </w:rPr>
              <w:t>（%）</w:t>
            </w:r>
          </w:p>
        </w:tc>
        <w:tc>
          <w:tcPr>
            <w:tcW w:w="1355" w:type="dxa"/>
            <w:tcBorders>
              <w:left w:val="single" w:sz="4" w:space="0" w:color="auto"/>
              <w:bottom w:val="single" w:sz="4" w:space="0" w:color="auto"/>
              <w:right w:val="single" w:sz="4" w:space="0" w:color="auto"/>
            </w:tcBorders>
            <w:vAlign w:val="center"/>
          </w:tcPr>
          <w:p w:rsidR="00067B91" w:rsidRDefault="00067B91" w:rsidP="00CC77AB">
            <w:pPr>
              <w:keepNext/>
              <w:autoSpaceDN w:val="0"/>
              <w:adjustRightInd w:val="0"/>
              <w:snapToGrid w:val="0"/>
              <w:jc w:val="center"/>
              <w:textAlignment w:val="center"/>
              <w:rPr>
                <w:rFonts w:ascii="宋体" w:hAnsi="宋体" w:hint="eastAsia"/>
                <w:b/>
                <w:sz w:val="22"/>
              </w:rPr>
            </w:pPr>
            <w:r>
              <w:rPr>
                <w:rFonts w:ascii="宋体" w:hAnsi="宋体" w:hint="eastAsia"/>
                <w:b/>
                <w:sz w:val="22"/>
              </w:rPr>
              <w:t>新开户职工</w:t>
            </w:r>
          </w:p>
          <w:p w:rsidR="00067B91" w:rsidRDefault="00067B91" w:rsidP="00CC77AB">
            <w:pPr>
              <w:keepNext/>
              <w:autoSpaceDN w:val="0"/>
              <w:adjustRightInd w:val="0"/>
              <w:snapToGrid w:val="0"/>
              <w:jc w:val="center"/>
              <w:textAlignment w:val="center"/>
              <w:rPr>
                <w:rFonts w:ascii="宋体" w:hAnsi="宋体"/>
                <w:b/>
                <w:sz w:val="22"/>
              </w:rPr>
            </w:pPr>
            <w:r>
              <w:rPr>
                <w:rFonts w:ascii="宋体" w:hAnsi="宋体" w:hint="eastAsia"/>
                <w:b/>
                <w:sz w:val="22"/>
              </w:rPr>
              <w:t>（万人）</w:t>
            </w:r>
          </w:p>
        </w:tc>
        <w:tc>
          <w:tcPr>
            <w:tcW w:w="998" w:type="dxa"/>
            <w:tcBorders>
              <w:left w:val="single" w:sz="4" w:space="0" w:color="auto"/>
              <w:bottom w:val="single" w:sz="4" w:space="0" w:color="auto"/>
              <w:right w:val="nil"/>
            </w:tcBorders>
            <w:vAlign w:val="center"/>
          </w:tcPr>
          <w:p w:rsidR="00067B91" w:rsidRDefault="00067B91" w:rsidP="00CC77AB">
            <w:pPr>
              <w:keepNext/>
              <w:autoSpaceDN w:val="0"/>
              <w:adjustRightInd w:val="0"/>
              <w:snapToGrid w:val="0"/>
              <w:jc w:val="center"/>
              <w:textAlignment w:val="center"/>
              <w:rPr>
                <w:rFonts w:ascii="宋体" w:hAnsi="宋体" w:hint="eastAsia"/>
                <w:b/>
                <w:sz w:val="22"/>
              </w:rPr>
            </w:pPr>
            <w:r>
              <w:rPr>
                <w:rFonts w:ascii="宋体" w:hAnsi="宋体" w:hint="eastAsia"/>
                <w:b/>
                <w:sz w:val="22"/>
              </w:rPr>
              <w:t>占比</w:t>
            </w:r>
          </w:p>
          <w:p w:rsidR="00067B91" w:rsidRDefault="00067B91" w:rsidP="00CC77AB">
            <w:pPr>
              <w:keepNext/>
              <w:autoSpaceDN w:val="0"/>
              <w:adjustRightInd w:val="0"/>
              <w:snapToGrid w:val="0"/>
              <w:jc w:val="center"/>
              <w:textAlignment w:val="center"/>
              <w:rPr>
                <w:rFonts w:ascii="宋体" w:hAnsi="宋体"/>
                <w:b/>
                <w:sz w:val="22"/>
              </w:rPr>
            </w:pPr>
            <w:r>
              <w:rPr>
                <w:rFonts w:ascii="宋体" w:hAnsi="宋体" w:hint="eastAsia"/>
                <w:b/>
                <w:sz w:val="22"/>
              </w:rPr>
              <w:t>（%）</w:t>
            </w:r>
          </w:p>
        </w:tc>
      </w:tr>
      <w:tr w:rsidR="00067B91" w:rsidTr="00CC77AB">
        <w:trPr>
          <w:trHeight w:val="510"/>
          <w:jc w:val="center"/>
        </w:trPr>
        <w:tc>
          <w:tcPr>
            <w:tcW w:w="1922" w:type="dxa"/>
            <w:tcBorders>
              <w:top w:val="single" w:sz="4" w:space="0" w:color="auto"/>
              <w:left w:val="nil"/>
              <w:bottom w:val="single" w:sz="4" w:space="0" w:color="auto"/>
              <w:right w:val="single" w:sz="4" w:space="0" w:color="auto"/>
            </w:tcBorders>
            <w:vAlign w:val="center"/>
          </w:tcPr>
          <w:p w:rsidR="00067B91" w:rsidRDefault="00067B91" w:rsidP="00CC77AB">
            <w:pPr>
              <w:adjustRightInd w:val="0"/>
              <w:snapToGrid w:val="0"/>
              <w:jc w:val="center"/>
              <w:rPr>
                <w:rFonts w:ascii="宋体" w:hAnsi="宋体" w:cs="宋体"/>
                <w:sz w:val="22"/>
              </w:rPr>
            </w:pPr>
            <w:r>
              <w:rPr>
                <w:rFonts w:ascii="宋体" w:hAnsi="宋体" w:hint="eastAsia"/>
                <w:sz w:val="22"/>
              </w:rPr>
              <w:t>国家机关和事业单位</w:t>
            </w:r>
          </w:p>
        </w:tc>
        <w:tc>
          <w:tcPr>
            <w:tcW w:w="1139"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73.5</w:t>
            </w:r>
            <w:r>
              <w:rPr>
                <w:rFonts w:ascii="仿宋" w:eastAsia="仿宋" w:hAnsi="仿宋"/>
                <w:szCs w:val="21"/>
              </w:rPr>
              <w:t>8</w:t>
            </w:r>
          </w:p>
        </w:tc>
        <w:tc>
          <w:tcPr>
            <w:tcW w:w="1051"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28.0</w:t>
            </w:r>
            <w:r>
              <w:rPr>
                <w:rFonts w:ascii="仿宋" w:eastAsia="仿宋" w:hAnsi="仿宋"/>
                <w:szCs w:val="21"/>
              </w:rPr>
              <w:t>5</w:t>
            </w:r>
          </w:p>
        </w:tc>
        <w:tc>
          <w:tcPr>
            <w:tcW w:w="1198"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43</w:t>
            </w:r>
            <w:r>
              <w:rPr>
                <w:rFonts w:ascii="仿宋" w:eastAsia="仿宋" w:hAnsi="仿宋"/>
                <w:szCs w:val="21"/>
              </w:rPr>
              <w:t>90.88</w:t>
            </w:r>
          </w:p>
        </w:tc>
        <w:tc>
          <w:tcPr>
            <w:tcW w:w="1010"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31.9</w:t>
            </w:r>
            <w:r>
              <w:rPr>
                <w:rFonts w:ascii="仿宋" w:eastAsia="仿宋" w:hAnsi="仿宋"/>
                <w:szCs w:val="21"/>
              </w:rPr>
              <w:t>6</w:t>
            </w:r>
          </w:p>
        </w:tc>
        <w:tc>
          <w:tcPr>
            <w:tcW w:w="1355"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277</w:t>
            </w:r>
            <w:r>
              <w:rPr>
                <w:rFonts w:ascii="仿宋" w:eastAsia="仿宋" w:hAnsi="仿宋"/>
                <w:szCs w:val="21"/>
              </w:rPr>
              <w:t>.13</w:t>
            </w:r>
          </w:p>
        </w:tc>
        <w:tc>
          <w:tcPr>
            <w:tcW w:w="998" w:type="dxa"/>
            <w:tcBorders>
              <w:top w:val="single" w:sz="4" w:space="0" w:color="auto"/>
              <w:left w:val="single" w:sz="4" w:space="0" w:color="auto"/>
              <w:bottom w:val="single" w:sz="4" w:space="0" w:color="auto"/>
              <w:right w:val="nil"/>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15.16</w:t>
            </w:r>
          </w:p>
        </w:tc>
      </w:tr>
      <w:tr w:rsidR="00067B91" w:rsidTr="00CC77AB">
        <w:trPr>
          <w:trHeight w:val="510"/>
          <w:jc w:val="center"/>
        </w:trPr>
        <w:tc>
          <w:tcPr>
            <w:tcW w:w="1922" w:type="dxa"/>
            <w:tcBorders>
              <w:top w:val="single" w:sz="4" w:space="0" w:color="auto"/>
              <w:left w:val="nil"/>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宋体" w:hAnsi="宋体" w:cs="宋体"/>
                <w:sz w:val="22"/>
              </w:rPr>
            </w:pPr>
            <w:r>
              <w:rPr>
                <w:rFonts w:ascii="宋体" w:hAnsi="宋体" w:hint="eastAsia"/>
                <w:sz w:val="22"/>
              </w:rPr>
              <w:t>国有企业</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20.4</w:t>
            </w:r>
            <w:r>
              <w:rPr>
                <w:rFonts w:ascii="仿宋" w:eastAsia="仿宋" w:hAnsi="仿宋"/>
                <w:szCs w:val="21"/>
              </w:rPr>
              <w:t>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7.80</w:t>
            </w:r>
          </w:p>
        </w:tc>
        <w:tc>
          <w:tcPr>
            <w:tcW w:w="1198"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2868.</w:t>
            </w:r>
            <w:r>
              <w:rPr>
                <w:rFonts w:ascii="仿宋" w:eastAsia="仿宋" w:hAnsi="仿宋"/>
                <w:szCs w:val="21"/>
              </w:rPr>
              <w:t>61</w:t>
            </w:r>
          </w:p>
        </w:tc>
        <w:tc>
          <w:tcPr>
            <w:tcW w:w="1010"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20.8</w:t>
            </w:r>
            <w:r>
              <w:rPr>
                <w:rFonts w:ascii="仿宋" w:eastAsia="仿宋" w:hAnsi="仿宋"/>
                <w:szCs w:val="21"/>
              </w:rPr>
              <w:t>8</w:t>
            </w:r>
          </w:p>
        </w:tc>
        <w:tc>
          <w:tcPr>
            <w:tcW w:w="1355"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215.4</w:t>
            </w:r>
            <w:r>
              <w:rPr>
                <w:rFonts w:ascii="仿宋" w:eastAsia="仿宋" w:hAnsi="仿宋"/>
                <w:szCs w:val="21"/>
              </w:rPr>
              <w:t>8</w:t>
            </w:r>
          </w:p>
        </w:tc>
        <w:tc>
          <w:tcPr>
            <w:tcW w:w="998" w:type="dxa"/>
            <w:tcBorders>
              <w:top w:val="single" w:sz="4" w:space="0" w:color="auto"/>
              <w:left w:val="single" w:sz="4" w:space="0" w:color="auto"/>
              <w:bottom w:val="single" w:sz="4" w:space="0" w:color="auto"/>
              <w:right w:val="nil"/>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11.79</w:t>
            </w:r>
          </w:p>
        </w:tc>
      </w:tr>
      <w:tr w:rsidR="00067B91" w:rsidTr="00CC77AB">
        <w:trPr>
          <w:trHeight w:val="510"/>
          <w:jc w:val="center"/>
        </w:trPr>
        <w:tc>
          <w:tcPr>
            <w:tcW w:w="1922" w:type="dxa"/>
            <w:tcBorders>
              <w:top w:val="single" w:sz="4" w:space="0" w:color="auto"/>
              <w:left w:val="nil"/>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宋体" w:hAnsi="宋体" w:cs="宋体"/>
                <w:sz w:val="22"/>
              </w:rPr>
            </w:pPr>
            <w:r>
              <w:rPr>
                <w:rFonts w:ascii="宋体" w:hAnsi="宋体" w:hint="eastAsia"/>
                <w:sz w:val="22"/>
              </w:rPr>
              <w:t>城镇集体企业</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4.45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1.70</w:t>
            </w:r>
          </w:p>
        </w:tc>
        <w:tc>
          <w:tcPr>
            <w:tcW w:w="1198"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254.24</w:t>
            </w:r>
          </w:p>
        </w:tc>
        <w:tc>
          <w:tcPr>
            <w:tcW w:w="1010"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1.85</w:t>
            </w:r>
          </w:p>
        </w:tc>
        <w:tc>
          <w:tcPr>
            <w:tcW w:w="1355"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30.78</w:t>
            </w:r>
          </w:p>
        </w:tc>
        <w:tc>
          <w:tcPr>
            <w:tcW w:w="998" w:type="dxa"/>
            <w:tcBorders>
              <w:top w:val="single" w:sz="4" w:space="0" w:color="auto"/>
              <w:left w:val="single" w:sz="4" w:space="0" w:color="auto"/>
              <w:bottom w:val="single" w:sz="4" w:space="0" w:color="auto"/>
              <w:right w:val="nil"/>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1.68</w:t>
            </w:r>
          </w:p>
        </w:tc>
      </w:tr>
      <w:tr w:rsidR="00067B91" w:rsidTr="00CC77AB">
        <w:trPr>
          <w:trHeight w:val="510"/>
          <w:jc w:val="center"/>
        </w:trPr>
        <w:tc>
          <w:tcPr>
            <w:tcW w:w="1922" w:type="dxa"/>
            <w:tcBorders>
              <w:top w:val="single" w:sz="4" w:space="0" w:color="auto"/>
              <w:left w:val="nil"/>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宋体" w:hAnsi="宋体" w:cs="宋体"/>
                <w:sz w:val="22"/>
              </w:rPr>
            </w:pPr>
            <w:r>
              <w:rPr>
                <w:rFonts w:ascii="宋体" w:hAnsi="宋体" w:hint="eastAsia"/>
                <w:sz w:val="22"/>
              </w:rPr>
              <w:t>外商投资企业</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10.7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4.08</w:t>
            </w:r>
          </w:p>
        </w:tc>
        <w:tc>
          <w:tcPr>
            <w:tcW w:w="1198"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1296.54</w:t>
            </w:r>
          </w:p>
        </w:tc>
        <w:tc>
          <w:tcPr>
            <w:tcW w:w="1010"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9.44</w:t>
            </w:r>
          </w:p>
        </w:tc>
        <w:tc>
          <w:tcPr>
            <w:tcW w:w="1355"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240.71</w:t>
            </w:r>
          </w:p>
        </w:tc>
        <w:tc>
          <w:tcPr>
            <w:tcW w:w="998" w:type="dxa"/>
            <w:tcBorders>
              <w:top w:val="single" w:sz="4" w:space="0" w:color="auto"/>
              <w:left w:val="single" w:sz="4" w:space="0" w:color="auto"/>
              <w:bottom w:val="single" w:sz="4" w:space="0" w:color="auto"/>
              <w:right w:val="nil"/>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13.1</w:t>
            </w:r>
            <w:r>
              <w:rPr>
                <w:rFonts w:ascii="仿宋" w:eastAsia="仿宋" w:hAnsi="仿宋"/>
                <w:szCs w:val="21"/>
              </w:rPr>
              <w:t>6</w:t>
            </w:r>
          </w:p>
        </w:tc>
      </w:tr>
      <w:tr w:rsidR="00067B91" w:rsidTr="00CC77AB">
        <w:trPr>
          <w:trHeight w:val="510"/>
          <w:jc w:val="center"/>
        </w:trPr>
        <w:tc>
          <w:tcPr>
            <w:tcW w:w="1922" w:type="dxa"/>
            <w:tcBorders>
              <w:top w:val="single" w:sz="4" w:space="0" w:color="auto"/>
              <w:left w:val="nil"/>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宋体" w:hAnsi="宋体"/>
                <w:sz w:val="22"/>
              </w:rPr>
            </w:pPr>
            <w:r>
              <w:rPr>
                <w:rFonts w:ascii="宋体" w:hAnsi="宋体" w:hint="eastAsia"/>
                <w:sz w:val="22"/>
              </w:rPr>
              <w:t>城镇私营企业及其他城镇企业</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129.52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4</w:t>
            </w:r>
            <w:r>
              <w:rPr>
                <w:rFonts w:ascii="仿宋" w:eastAsia="仿宋" w:hAnsi="仿宋"/>
                <w:szCs w:val="21"/>
              </w:rPr>
              <w:t>9.37</w:t>
            </w:r>
          </w:p>
        </w:tc>
        <w:tc>
          <w:tcPr>
            <w:tcW w:w="1198"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3933.7</w:t>
            </w:r>
            <w:r>
              <w:rPr>
                <w:rFonts w:ascii="仿宋" w:eastAsia="仿宋" w:hAnsi="仿宋"/>
                <w:szCs w:val="21"/>
              </w:rPr>
              <w:t>4</w:t>
            </w:r>
          </w:p>
        </w:tc>
        <w:tc>
          <w:tcPr>
            <w:tcW w:w="1010"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28.64</w:t>
            </w:r>
          </w:p>
        </w:tc>
        <w:tc>
          <w:tcPr>
            <w:tcW w:w="1355"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864.5</w:t>
            </w:r>
            <w:r>
              <w:rPr>
                <w:rFonts w:ascii="仿宋" w:eastAsia="仿宋" w:hAnsi="仿宋"/>
                <w:szCs w:val="21"/>
              </w:rPr>
              <w:t>2</w:t>
            </w:r>
          </w:p>
        </w:tc>
        <w:tc>
          <w:tcPr>
            <w:tcW w:w="998" w:type="dxa"/>
            <w:tcBorders>
              <w:top w:val="single" w:sz="4" w:space="0" w:color="auto"/>
              <w:left w:val="single" w:sz="4" w:space="0" w:color="auto"/>
              <w:bottom w:val="single" w:sz="4" w:space="0" w:color="auto"/>
              <w:right w:val="nil"/>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47.29</w:t>
            </w:r>
          </w:p>
        </w:tc>
      </w:tr>
      <w:tr w:rsidR="00067B91" w:rsidTr="00CC77AB">
        <w:trPr>
          <w:trHeight w:val="510"/>
          <w:jc w:val="center"/>
        </w:trPr>
        <w:tc>
          <w:tcPr>
            <w:tcW w:w="1922" w:type="dxa"/>
            <w:tcBorders>
              <w:top w:val="single" w:sz="4" w:space="0" w:color="auto"/>
              <w:left w:val="nil"/>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宋体" w:hAnsi="宋体"/>
                <w:sz w:val="22"/>
              </w:rPr>
            </w:pPr>
            <w:r>
              <w:rPr>
                <w:rFonts w:ascii="宋体" w:hAnsi="宋体" w:hint="eastAsia"/>
                <w:sz w:val="22"/>
              </w:rPr>
              <w:t>民办非企业单位和社会团体</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5.91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2.25</w:t>
            </w:r>
          </w:p>
        </w:tc>
        <w:tc>
          <w:tcPr>
            <w:tcW w:w="1198"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219.62</w:t>
            </w:r>
          </w:p>
        </w:tc>
        <w:tc>
          <w:tcPr>
            <w:tcW w:w="1010"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1.6</w:t>
            </w:r>
          </w:p>
        </w:tc>
        <w:tc>
          <w:tcPr>
            <w:tcW w:w="1355"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44.77</w:t>
            </w:r>
          </w:p>
        </w:tc>
        <w:tc>
          <w:tcPr>
            <w:tcW w:w="998" w:type="dxa"/>
            <w:tcBorders>
              <w:top w:val="single" w:sz="4" w:space="0" w:color="auto"/>
              <w:left w:val="single" w:sz="4" w:space="0" w:color="auto"/>
              <w:bottom w:val="single" w:sz="4" w:space="0" w:color="auto"/>
              <w:right w:val="nil"/>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2.45</w:t>
            </w:r>
          </w:p>
        </w:tc>
      </w:tr>
      <w:tr w:rsidR="00067B91" w:rsidTr="00CC77AB">
        <w:trPr>
          <w:trHeight w:val="510"/>
          <w:jc w:val="center"/>
        </w:trPr>
        <w:tc>
          <w:tcPr>
            <w:tcW w:w="1922" w:type="dxa"/>
            <w:tcBorders>
              <w:top w:val="single" w:sz="4" w:space="0" w:color="auto"/>
              <w:left w:val="nil"/>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宋体" w:hAnsi="宋体" w:cs="宋体"/>
                <w:sz w:val="22"/>
              </w:rPr>
            </w:pPr>
            <w:r>
              <w:rPr>
                <w:rFonts w:ascii="宋体" w:hAnsi="宋体" w:hint="eastAsia"/>
                <w:sz w:val="22"/>
              </w:rPr>
              <w:t>其他类型单位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17.7</w:t>
            </w:r>
            <w:r>
              <w:rPr>
                <w:rFonts w:ascii="仿宋" w:eastAsia="仿宋" w:hAnsi="仿宋"/>
                <w:szCs w:val="21"/>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6.75</w:t>
            </w:r>
          </w:p>
        </w:tc>
        <w:tc>
          <w:tcPr>
            <w:tcW w:w="1198"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77</w:t>
            </w:r>
            <w:r>
              <w:rPr>
                <w:rFonts w:ascii="仿宋" w:eastAsia="仿宋" w:hAnsi="仿宋"/>
                <w:szCs w:val="21"/>
              </w:rPr>
              <w:t>3.59</w:t>
            </w:r>
          </w:p>
        </w:tc>
        <w:tc>
          <w:tcPr>
            <w:tcW w:w="1010" w:type="dxa"/>
            <w:tcBorders>
              <w:top w:val="single" w:sz="4" w:space="0" w:color="auto"/>
              <w:left w:val="single" w:sz="4" w:space="0" w:color="auto"/>
              <w:bottom w:val="single" w:sz="4" w:space="0" w:color="auto"/>
              <w:right w:val="single" w:sz="4" w:space="0" w:color="auto"/>
            </w:tcBorders>
            <w:shd w:val="clear" w:color="FFFF00" w:fill="auto"/>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5.6</w:t>
            </w:r>
            <w:r>
              <w:rPr>
                <w:rFonts w:ascii="仿宋" w:eastAsia="仿宋" w:hAnsi="仿宋"/>
                <w:szCs w:val="21"/>
              </w:rPr>
              <w:t>3</w:t>
            </w:r>
          </w:p>
        </w:tc>
        <w:tc>
          <w:tcPr>
            <w:tcW w:w="1355" w:type="dxa"/>
            <w:tcBorders>
              <w:top w:val="single" w:sz="4" w:space="0" w:color="auto"/>
              <w:left w:val="single" w:sz="4" w:space="0" w:color="auto"/>
              <w:bottom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154.</w:t>
            </w:r>
            <w:r>
              <w:rPr>
                <w:rFonts w:ascii="仿宋" w:eastAsia="仿宋" w:hAnsi="仿宋"/>
                <w:szCs w:val="21"/>
              </w:rPr>
              <w:t>89</w:t>
            </w:r>
          </w:p>
        </w:tc>
        <w:tc>
          <w:tcPr>
            <w:tcW w:w="998" w:type="dxa"/>
            <w:tcBorders>
              <w:top w:val="single" w:sz="4" w:space="0" w:color="auto"/>
              <w:left w:val="single" w:sz="4" w:space="0" w:color="auto"/>
              <w:bottom w:val="single" w:sz="4" w:space="0" w:color="auto"/>
              <w:right w:val="nil"/>
            </w:tcBorders>
            <w:vAlign w:val="center"/>
          </w:tcPr>
          <w:p w:rsidR="00067B91" w:rsidRDefault="00067B91" w:rsidP="00CC77AB">
            <w:pPr>
              <w:adjustRightInd w:val="0"/>
              <w:snapToGrid w:val="0"/>
              <w:jc w:val="center"/>
              <w:rPr>
                <w:rFonts w:ascii="仿宋" w:eastAsia="仿宋" w:hAnsi="仿宋" w:hint="eastAsia"/>
                <w:szCs w:val="21"/>
              </w:rPr>
            </w:pPr>
            <w:r>
              <w:rPr>
                <w:rFonts w:ascii="仿宋" w:eastAsia="仿宋" w:hAnsi="仿宋" w:hint="eastAsia"/>
                <w:szCs w:val="21"/>
              </w:rPr>
              <w:t>8.47</w:t>
            </w:r>
          </w:p>
        </w:tc>
      </w:tr>
      <w:tr w:rsidR="00067B91" w:rsidTr="00CC77AB">
        <w:trPr>
          <w:trHeight w:val="510"/>
          <w:jc w:val="center"/>
        </w:trPr>
        <w:tc>
          <w:tcPr>
            <w:tcW w:w="1922" w:type="dxa"/>
            <w:tcBorders>
              <w:top w:val="single" w:sz="4" w:space="0" w:color="auto"/>
              <w:left w:val="nil"/>
              <w:right w:val="single" w:sz="4" w:space="0" w:color="auto"/>
            </w:tcBorders>
            <w:vAlign w:val="center"/>
          </w:tcPr>
          <w:p w:rsidR="00067B91" w:rsidRDefault="00067B91" w:rsidP="00CC77AB">
            <w:pPr>
              <w:adjustRightInd w:val="0"/>
              <w:snapToGrid w:val="0"/>
              <w:jc w:val="center"/>
              <w:rPr>
                <w:rFonts w:ascii="宋体" w:hAnsi="宋体" w:cs="宋体"/>
                <w:b/>
                <w:bCs/>
                <w:sz w:val="22"/>
              </w:rPr>
            </w:pPr>
            <w:r>
              <w:rPr>
                <w:rFonts w:ascii="宋体" w:hAnsi="宋体" w:hint="eastAsia"/>
                <w:b/>
                <w:bCs/>
                <w:sz w:val="22"/>
              </w:rPr>
              <w:t>合计</w:t>
            </w:r>
          </w:p>
        </w:tc>
        <w:tc>
          <w:tcPr>
            <w:tcW w:w="1139" w:type="dxa"/>
            <w:tcBorders>
              <w:top w:val="single" w:sz="4" w:space="0" w:color="auto"/>
              <w:left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b/>
                <w:bCs/>
              </w:rPr>
            </w:pPr>
            <w:r>
              <w:rPr>
                <w:rFonts w:ascii="仿宋" w:eastAsia="仿宋" w:hAnsi="仿宋" w:hint="eastAsia"/>
                <w:b/>
                <w:bCs/>
              </w:rPr>
              <w:t>262.</w:t>
            </w:r>
            <w:r>
              <w:rPr>
                <w:rFonts w:ascii="仿宋" w:eastAsia="仿宋" w:hAnsi="仿宋"/>
                <w:b/>
                <w:bCs/>
              </w:rPr>
              <w:t>33</w:t>
            </w:r>
          </w:p>
        </w:tc>
        <w:tc>
          <w:tcPr>
            <w:tcW w:w="1051" w:type="dxa"/>
            <w:tcBorders>
              <w:top w:val="single" w:sz="4" w:space="0" w:color="auto"/>
              <w:left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b/>
                <w:bCs/>
              </w:rPr>
            </w:pPr>
            <w:r>
              <w:rPr>
                <w:rFonts w:ascii="仿宋" w:eastAsia="仿宋" w:hAnsi="仿宋" w:hint="eastAsia"/>
                <w:b/>
                <w:bCs/>
              </w:rPr>
              <w:t>1</w:t>
            </w:r>
            <w:r>
              <w:rPr>
                <w:rFonts w:ascii="仿宋" w:eastAsia="仿宋" w:hAnsi="仿宋"/>
                <w:b/>
                <w:bCs/>
              </w:rPr>
              <w:t>00</w:t>
            </w:r>
          </w:p>
        </w:tc>
        <w:tc>
          <w:tcPr>
            <w:tcW w:w="1198" w:type="dxa"/>
            <w:tcBorders>
              <w:top w:val="single" w:sz="4" w:space="0" w:color="auto"/>
              <w:left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b/>
                <w:bCs/>
              </w:rPr>
            </w:pPr>
            <w:r>
              <w:rPr>
                <w:rFonts w:ascii="仿宋" w:eastAsia="仿宋" w:hAnsi="仿宋" w:hint="eastAsia"/>
                <w:b/>
                <w:bCs/>
              </w:rPr>
              <w:t>1373</w:t>
            </w:r>
            <w:r>
              <w:rPr>
                <w:rFonts w:ascii="仿宋" w:eastAsia="仿宋" w:hAnsi="仿宋"/>
                <w:b/>
                <w:bCs/>
              </w:rPr>
              <w:t>7.22</w:t>
            </w:r>
          </w:p>
        </w:tc>
        <w:tc>
          <w:tcPr>
            <w:tcW w:w="1010" w:type="dxa"/>
            <w:tcBorders>
              <w:top w:val="single" w:sz="4" w:space="0" w:color="auto"/>
              <w:left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b/>
                <w:bCs/>
              </w:rPr>
            </w:pPr>
            <w:r>
              <w:rPr>
                <w:rFonts w:ascii="仿宋" w:eastAsia="仿宋" w:hAnsi="仿宋" w:hint="eastAsia"/>
                <w:b/>
                <w:bCs/>
              </w:rPr>
              <w:t>1</w:t>
            </w:r>
            <w:r>
              <w:rPr>
                <w:rFonts w:ascii="仿宋" w:eastAsia="仿宋" w:hAnsi="仿宋"/>
                <w:b/>
                <w:bCs/>
              </w:rPr>
              <w:t>00</w:t>
            </w:r>
          </w:p>
        </w:tc>
        <w:tc>
          <w:tcPr>
            <w:tcW w:w="1355" w:type="dxa"/>
            <w:tcBorders>
              <w:top w:val="single" w:sz="4" w:space="0" w:color="auto"/>
              <w:left w:val="single" w:sz="4" w:space="0" w:color="auto"/>
              <w:right w:val="single" w:sz="4" w:space="0" w:color="auto"/>
            </w:tcBorders>
            <w:vAlign w:val="center"/>
          </w:tcPr>
          <w:p w:rsidR="00067B91" w:rsidRDefault="00067B91" w:rsidP="00CC77AB">
            <w:pPr>
              <w:adjustRightInd w:val="0"/>
              <w:snapToGrid w:val="0"/>
              <w:jc w:val="center"/>
              <w:rPr>
                <w:rFonts w:ascii="仿宋" w:eastAsia="仿宋" w:hAnsi="仿宋" w:hint="eastAsia"/>
                <w:b/>
                <w:bCs/>
              </w:rPr>
            </w:pPr>
            <w:r>
              <w:rPr>
                <w:rFonts w:ascii="仿宋" w:eastAsia="仿宋" w:hAnsi="仿宋" w:hint="eastAsia"/>
                <w:b/>
                <w:bCs/>
              </w:rPr>
              <w:t>1828.</w:t>
            </w:r>
            <w:r>
              <w:rPr>
                <w:rFonts w:ascii="仿宋" w:eastAsia="仿宋" w:hAnsi="仿宋"/>
                <w:b/>
                <w:bCs/>
              </w:rPr>
              <w:t>28</w:t>
            </w:r>
          </w:p>
        </w:tc>
        <w:tc>
          <w:tcPr>
            <w:tcW w:w="998" w:type="dxa"/>
            <w:tcBorders>
              <w:top w:val="single" w:sz="4" w:space="0" w:color="auto"/>
              <w:left w:val="single" w:sz="4" w:space="0" w:color="auto"/>
              <w:right w:val="nil"/>
            </w:tcBorders>
            <w:vAlign w:val="center"/>
          </w:tcPr>
          <w:p w:rsidR="00067B91" w:rsidRDefault="00067B91" w:rsidP="00CC77AB">
            <w:pPr>
              <w:adjustRightInd w:val="0"/>
              <w:snapToGrid w:val="0"/>
              <w:jc w:val="center"/>
              <w:rPr>
                <w:rFonts w:ascii="仿宋" w:eastAsia="仿宋" w:hAnsi="仿宋"/>
                <w:b/>
                <w:bCs/>
              </w:rPr>
            </w:pPr>
            <w:r>
              <w:rPr>
                <w:rFonts w:ascii="仿宋" w:eastAsia="仿宋" w:hAnsi="仿宋" w:hint="eastAsia"/>
                <w:b/>
                <w:bCs/>
              </w:rPr>
              <w:t>1</w:t>
            </w:r>
            <w:r>
              <w:rPr>
                <w:rFonts w:ascii="仿宋" w:eastAsia="仿宋" w:hAnsi="仿宋"/>
                <w:b/>
                <w:bCs/>
              </w:rPr>
              <w:t>00</w:t>
            </w:r>
          </w:p>
        </w:tc>
      </w:tr>
    </w:tbl>
    <w:p w:rsidR="00067B91" w:rsidRDefault="00067B91" w:rsidP="00067B91">
      <w:pPr>
        <w:keepNext/>
        <w:adjustRightInd w:val="0"/>
        <w:snapToGrid w:val="0"/>
        <w:spacing w:beforeLines="50" w:line="360" w:lineRule="auto"/>
        <w:jc w:val="center"/>
        <w:rPr>
          <w:rFonts w:ascii="宋体" w:hAnsi="宋体" w:cs="宋体" w:hint="eastAsia"/>
          <w:b/>
          <w:bCs/>
          <w:kern w:val="0"/>
          <w:sz w:val="30"/>
          <w:szCs w:val="30"/>
        </w:rPr>
      </w:pPr>
      <w:r>
        <w:rPr>
          <w:rFonts w:ascii="宋体" w:hAnsi="宋体" w:cs="宋体" w:hint="eastAsia"/>
          <w:b/>
          <w:bCs/>
          <w:kern w:val="0"/>
          <w:sz w:val="30"/>
          <w:szCs w:val="30"/>
        </w:rPr>
        <w:lastRenderedPageBreak/>
        <w:t>图</w:t>
      </w:r>
      <w:r>
        <w:rPr>
          <w:rFonts w:ascii="宋体" w:hAnsi="宋体" w:cs="宋体"/>
          <w:b/>
          <w:bCs/>
          <w:kern w:val="0"/>
          <w:sz w:val="30"/>
          <w:szCs w:val="30"/>
        </w:rPr>
        <w:t>1</w:t>
      </w:r>
      <w:r>
        <w:rPr>
          <w:rFonts w:ascii="宋体" w:hAnsi="宋体" w:cs="宋体" w:hint="eastAsia"/>
          <w:b/>
          <w:bCs/>
          <w:kern w:val="0"/>
          <w:sz w:val="30"/>
          <w:szCs w:val="30"/>
        </w:rPr>
        <w:t xml:space="preserve">  2</w:t>
      </w:r>
      <w:r>
        <w:rPr>
          <w:rFonts w:ascii="宋体" w:hAnsi="宋体" w:cs="宋体"/>
          <w:b/>
          <w:bCs/>
          <w:kern w:val="0"/>
          <w:sz w:val="30"/>
          <w:szCs w:val="30"/>
        </w:rPr>
        <w:t>01</w:t>
      </w:r>
      <w:r>
        <w:rPr>
          <w:rFonts w:ascii="宋体" w:hAnsi="宋体" w:cs="宋体" w:hint="eastAsia"/>
          <w:b/>
          <w:bCs/>
          <w:kern w:val="0"/>
          <w:sz w:val="30"/>
          <w:szCs w:val="30"/>
        </w:rPr>
        <w:t>3—</w:t>
      </w:r>
      <w:r>
        <w:rPr>
          <w:rFonts w:ascii="宋体" w:hAnsi="宋体" w:cs="宋体"/>
          <w:b/>
          <w:bCs/>
          <w:kern w:val="0"/>
          <w:sz w:val="30"/>
          <w:szCs w:val="30"/>
        </w:rPr>
        <w:t>201</w:t>
      </w:r>
      <w:r>
        <w:rPr>
          <w:rFonts w:ascii="宋体" w:hAnsi="宋体" w:cs="宋体" w:hint="eastAsia"/>
          <w:b/>
          <w:bCs/>
          <w:kern w:val="0"/>
          <w:sz w:val="30"/>
          <w:szCs w:val="30"/>
        </w:rPr>
        <w:t>7年住房公积金缴存金额及增长速度</w:t>
      </w:r>
    </w:p>
    <w:p w:rsidR="00067B91" w:rsidRDefault="00067B91" w:rsidP="00067B91">
      <w:pPr>
        <w:keepNext/>
        <w:adjustRightInd w:val="0"/>
        <w:snapToGrid w:val="0"/>
        <w:spacing w:beforeLines="50" w:line="360" w:lineRule="auto"/>
        <w:jc w:val="center"/>
        <w:rPr>
          <w:rFonts w:ascii="宋体" w:hAnsi="宋体" w:cs="宋体" w:hint="eastAsia"/>
          <w:b/>
          <w:bCs/>
          <w:kern w:val="0"/>
          <w:sz w:val="30"/>
          <w:szCs w:val="30"/>
        </w:rPr>
      </w:pPr>
      <w:r>
        <w:rPr>
          <w:sz w:val="30"/>
        </w:rPr>
        <w:pict>
          <v:group id="组合 5" o:spid="_x0000_s2050" style="position:absolute;left:0;text-align:left;margin-left:-1.55pt;margin-top:11.8pt;width:414.75pt;height:21.9pt;z-index:251660288" coordorigin="5971,51855" coordsize="8295,438">
            <v:shapetype id="_x0000_t202" coordsize="21600,21600" o:spt="202" path="m,l,21600r21600,l21600,xe">
              <v:stroke joinstyle="miter"/>
              <v:path gradientshapeok="t" o:connecttype="rect"/>
            </v:shapetype>
            <v:shape id="文本框 3" o:spid="_x0000_s2051" type="#_x0000_t202" style="position:absolute;left:5971;top:51855;width:810;height:420" filled="f" stroked="f">
              <v:fill o:detectmouseclick="t"/>
              <v:textbox>
                <w:txbxContent>
                  <w:p w:rsidR="00067B91" w:rsidRDefault="00067B91" w:rsidP="00067B91">
                    <w:pPr>
                      <w:adjustRightInd w:val="0"/>
                      <w:snapToGrid w:val="0"/>
                      <w:spacing w:line="360" w:lineRule="auto"/>
                      <w:rPr>
                        <w:rFonts w:ascii="宋体" w:hAnsi="宋体" w:cs="宋体" w:hint="eastAsia"/>
                        <w:kern w:val="0"/>
                        <w:sz w:val="24"/>
                        <w:szCs w:val="24"/>
                      </w:rPr>
                    </w:pPr>
                    <w:r>
                      <w:rPr>
                        <w:rFonts w:ascii="宋体" w:hAnsi="宋体" w:cs="宋体" w:hint="eastAsia"/>
                        <w:kern w:val="0"/>
                        <w:sz w:val="24"/>
                        <w:szCs w:val="24"/>
                      </w:rPr>
                      <w:t>亿元</w:t>
                    </w:r>
                  </w:p>
                </w:txbxContent>
              </v:textbox>
            </v:shape>
            <v:shape id="文本框 4" o:spid="_x0000_s2052" type="#_x0000_t202" style="position:absolute;left:13816;top:51873;width:450;height:420" filled="f" stroked="f">
              <v:fill o:detectmouseclick="t"/>
              <v:textbox>
                <w:txbxContent>
                  <w:p w:rsidR="00067B91" w:rsidRDefault="00067B91" w:rsidP="00067B91">
                    <w:pPr>
                      <w:adjustRightInd w:val="0"/>
                      <w:snapToGrid w:val="0"/>
                      <w:spacing w:line="360" w:lineRule="auto"/>
                      <w:rPr>
                        <w:rFonts w:ascii="宋体" w:hAnsi="宋体" w:cs="宋体" w:hint="eastAsia"/>
                        <w:kern w:val="0"/>
                        <w:sz w:val="24"/>
                        <w:szCs w:val="24"/>
                      </w:rPr>
                    </w:pPr>
                    <w:r>
                      <w:rPr>
                        <w:rFonts w:ascii="宋体" w:hAnsi="宋体" w:cs="宋体" w:hint="eastAsia"/>
                        <w:kern w:val="0"/>
                        <w:sz w:val="24"/>
                        <w:szCs w:val="24"/>
                      </w:rPr>
                      <w:t>%</w:t>
                    </w:r>
                  </w:p>
                </w:txbxContent>
              </v:textbox>
            </v:shape>
          </v:group>
        </w:pict>
      </w:r>
    </w:p>
    <w:p w:rsidR="00067B91" w:rsidRDefault="00067B91" w:rsidP="00067B91">
      <w:pPr>
        <w:adjustRightInd w:val="0"/>
        <w:spacing w:line="360" w:lineRule="auto"/>
        <w:rPr>
          <w:rFonts w:hint="eastAsia"/>
          <w:lang w:val="en-US" w:eastAsia="zh-CN"/>
        </w:rPr>
      </w:pPr>
      <w:r>
        <w:rPr>
          <w:noProof/>
        </w:rPr>
        <w:drawing>
          <wp:inline distT="0" distB="0" distL="0" distR="0">
            <wp:extent cx="5276850" cy="2714625"/>
            <wp:effectExtent l="0" t="0" r="0" b="0"/>
            <wp:docPr id="1" name="图片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7B91" w:rsidRDefault="00067B91" w:rsidP="00067B91">
      <w:pPr>
        <w:keepNext/>
        <w:adjustRightInd w:val="0"/>
        <w:snapToGrid w:val="0"/>
        <w:spacing w:beforeLines="100"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kern w:val="0"/>
          <w:sz w:val="32"/>
          <w:szCs w:val="32"/>
        </w:rPr>
        <w:t>（二）提取。</w:t>
      </w:r>
      <w:r>
        <w:rPr>
          <w:rFonts w:ascii="仿宋_GB2312" w:eastAsia="仿宋_GB2312" w:hAnsi="仿宋_GB2312" w:cs="仿宋_GB2312" w:hint="eastAsia"/>
          <w:kern w:val="0"/>
          <w:sz w:val="32"/>
          <w:szCs w:val="32"/>
        </w:rPr>
        <w:t>2017年，住房公积金提取人数4689.</w:t>
      </w:r>
      <w:r>
        <w:rPr>
          <w:rFonts w:ascii="仿宋_GB2312" w:eastAsia="仿宋_GB2312" w:hAnsi="仿宋_GB2312" w:cs="仿宋_GB2312"/>
          <w:kern w:val="0"/>
          <w:sz w:val="32"/>
          <w:szCs w:val="32"/>
        </w:rPr>
        <w:t>49</w:t>
      </w:r>
      <w:r>
        <w:rPr>
          <w:rFonts w:ascii="仿宋_GB2312" w:eastAsia="仿宋_GB2312" w:hAnsi="仿宋_GB2312" w:cs="仿宋_GB2312" w:hint="eastAsia"/>
          <w:kern w:val="0"/>
          <w:sz w:val="32"/>
          <w:szCs w:val="32"/>
        </w:rPr>
        <w:t>万人，占实缴职工人数的34</w:t>
      </w:r>
      <w:r>
        <w:rPr>
          <w:rFonts w:ascii="仿宋_GB2312" w:eastAsia="仿宋_GB2312" w:hAnsi="仿宋_GB2312" w:cs="仿宋_GB2312"/>
          <w:kern w:val="0"/>
          <w:sz w:val="32"/>
          <w:szCs w:val="32"/>
        </w:rPr>
        <w:t>.14</w:t>
      </w:r>
      <w:r>
        <w:rPr>
          <w:rFonts w:ascii="仿宋_GB2312" w:eastAsia="仿宋_GB2312" w:hAnsi="仿宋_GB2312" w:cs="仿宋_GB2312" w:hint="eastAsia"/>
          <w:kern w:val="0"/>
          <w:sz w:val="32"/>
          <w:szCs w:val="32"/>
        </w:rPr>
        <w:t>%；提取额</w:t>
      </w:r>
      <w:r>
        <w:rPr>
          <w:rFonts w:ascii="仿宋_GB2312" w:eastAsia="仿宋_GB2312" w:hAnsi="仿宋_GB2312" w:cs="仿宋_GB2312"/>
          <w:kern w:val="0"/>
          <w:sz w:val="32"/>
          <w:szCs w:val="32"/>
        </w:rPr>
        <w:t>127</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9.80</w:t>
      </w:r>
      <w:r>
        <w:rPr>
          <w:rFonts w:ascii="仿宋_GB2312" w:eastAsia="仿宋_GB2312" w:hAnsi="仿宋_GB2312" w:cs="仿宋_GB2312" w:hint="eastAsia"/>
          <w:kern w:val="0"/>
          <w:sz w:val="32"/>
          <w:szCs w:val="32"/>
        </w:rPr>
        <w:t>亿元，比上年增长9.4</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%；提取率</w:t>
      </w:r>
      <w:r>
        <w:rPr>
          <w:rFonts w:ascii="仿宋_GB2312" w:eastAsia="仿宋_GB2312" w:hAnsi="仿宋_GB2312" w:cs="仿宋_GB2312" w:hint="eastAsia"/>
          <w:color w:val="000000"/>
          <w:kern w:val="0"/>
          <w:sz w:val="32"/>
          <w:szCs w:val="32"/>
          <w:vertAlign w:val="superscript"/>
        </w:rPr>
        <w:t>[2]</w:t>
      </w:r>
      <w:r>
        <w:rPr>
          <w:rFonts w:ascii="仿宋_GB2312" w:eastAsia="仿宋_GB2312" w:hAnsi="仿宋_GB2312" w:cs="仿宋_GB2312" w:hint="eastAsia"/>
          <w:kern w:val="0"/>
          <w:sz w:val="32"/>
          <w:szCs w:val="32"/>
        </w:rPr>
        <w:t>67.9</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%，比上年减少2.2</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个百分点；住房消费类提取</w:t>
      </w:r>
      <w:r>
        <w:rPr>
          <w:rFonts w:ascii="仿宋_GB2312" w:eastAsia="仿宋_GB2312" w:hAnsi="仿宋_GB2312" w:cs="仿宋_GB2312"/>
          <w:kern w:val="0"/>
          <w:sz w:val="32"/>
          <w:szCs w:val="32"/>
        </w:rPr>
        <w:t>101</w:t>
      </w:r>
      <w:r>
        <w:rPr>
          <w:rFonts w:ascii="仿宋_GB2312" w:eastAsia="仿宋_GB2312" w:hAnsi="仿宋_GB2312" w:cs="仿宋_GB2312" w:hint="eastAsia"/>
          <w:kern w:val="0"/>
          <w:sz w:val="32"/>
          <w:szCs w:val="32"/>
        </w:rPr>
        <w:t>18.</w:t>
      </w:r>
      <w:r>
        <w:rPr>
          <w:rFonts w:ascii="仿宋_GB2312" w:eastAsia="仿宋_GB2312" w:hAnsi="仿宋_GB2312" w:cs="仿宋_GB2312"/>
          <w:kern w:val="0"/>
          <w:sz w:val="32"/>
          <w:szCs w:val="32"/>
        </w:rPr>
        <w:t>95</w:t>
      </w:r>
      <w:r>
        <w:rPr>
          <w:rFonts w:ascii="仿宋_GB2312" w:eastAsia="仿宋_GB2312" w:hAnsi="仿宋_GB2312" w:cs="仿宋_GB2312" w:hint="eastAsia"/>
          <w:kern w:val="0"/>
          <w:sz w:val="32"/>
          <w:szCs w:val="32"/>
        </w:rPr>
        <w:t>亿元，非住房消费类提取</w:t>
      </w:r>
      <w:r>
        <w:rPr>
          <w:rFonts w:ascii="仿宋_GB2312" w:eastAsia="仿宋_GB2312" w:hAnsi="仿宋_GB2312" w:cs="仿宋_GB2312"/>
          <w:kern w:val="0"/>
          <w:sz w:val="32"/>
          <w:szCs w:val="32"/>
        </w:rPr>
        <w:t>261</w:t>
      </w:r>
      <w:r>
        <w:rPr>
          <w:rFonts w:ascii="仿宋_GB2312" w:eastAsia="仿宋_GB2312" w:hAnsi="仿宋_GB2312" w:cs="仿宋_GB2312" w:hint="eastAsia"/>
          <w:kern w:val="0"/>
          <w:sz w:val="32"/>
          <w:szCs w:val="32"/>
        </w:rPr>
        <w:t>0.8</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亿元。</w:t>
      </w:r>
    </w:p>
    <w:p w:rsidR="00067B91" w:rsidRDefault="00067B91" w:rsidP="00067B91">
      <w:pPr>
        <w:adjustRightIn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2017年末，住房公积金提取总额</w:t>
      </w:r>
      <w:r>
        <w:rPr>
          <w:rFonts w:ascii="仿宋_GB2312" w:eastAsia="仿宋_GB2312" w:hAnsi="仿宋_GB2312" w:cs="仿宋_GB2312"/>
          <w:kern w:val="0"/>
          <w:sz w:val="32"/>
          <w:szCs w:val="32"/>
        </w:rPr>
        <w:t>73224.38</w:t>
      </w:r>
      <w:r>
        <w:rPr>
          <w:rFonts w:ascii="仿宋_GB2312" w:eastAsia="仿宋_GB2312" w:hAnsi="仿宋_GB2312" w:cs="仿宋_GB2312" w:hint="eastAsia"/>
          <w:kern w:val="0"/>
          <w:sz w:val="32"/>
          <w:szCs w:val="32"/>
        </w:rPr>
        <w:t>亿元，占缴存总额的58.65%。</w:t>
      </w:r>
    </w:p>
    <w:p w:rsidR="00067B91" w:rsidRDefault="00067B91" w:rsidP="00067B91">
      <w:pPr>
        <w:keepNext/>
        <w:adjustRightInd w:val="0"/>
        <w:snapToGrid w:val="0"/>
        <w:spacing w:beforeLines="100" w:line="360" w:lineRule="auto"/>
        <w:jc w:val="center"/>
        <w:rPr>
          <w:rFonts w:ascii="宋体" w:hAnsi="宋体" w:cs="宋体" w:hint="eastAsia"/>
          <w:b/>
          <w:bCs/>
          <w:kern w:val="0"/>
          <w:sz w:val="30"/>
          <w:szCs w:val="30"/>
        </w:rPr>
      </w:pPr>
      <w:r>
        <w:rPr>
          <w:rFonts w:ascii="宋体" w:hAnsi="宋体" w:cs="宋体" w:hint="eastAsia"/>
          <w:b/>
          <w:bCs/>
          <w:kern w:val="0"/>
          <w:sz w:val="30"/>
          <w:szCs w:val="30"/>
        </w:rPr>
        <w:t xml:space="preserve">表3  </w:t>
      </w:r>
      <w:r>
        <w:rPr>
          <w:rFonts w:ascii="宋体" w:hAnsi="宋体" w:cs="宋体"/>
          <w:b/>
          <w:bCs/>
          <w:kern w:val="0"/>
          <w:sz w:val="30"/>
          <w:szCs w:val="30"/>
        </w:rPr>
        <w:t>201</w:t>
      </w:r>
      <w:r>
        <w:rPr>
          <w:rFonts w:ascii="宋体" w:hAnsi="宋体" w:cs="宋体" w:hint="eastAsia"/>
          <w:b/>
          <w:bCs/>
          <w:kern w:val="0"/>
          <w:sz w:val="30"/>
          <w:szCs w:val="30"/>
        </w:rPr>
        <w:t>7年各地区住房公积金提取情况</w:t>
      </w:r>
    </w:p>
    <w:tbl>
      <w:tblPr>
        <w:tblW w:w="0" w:type="auto"/>
        <w:jc w:val="center"/>
        <w:tblLayout w:type="fixed"/>
        <w:tblLook w:val="0000"/>
      </w:tblPr>
      <w:tblGrid>
        <w:gridCol w:w="1100"/>
        <w:gridCol w:w="1368"/>
        <w:gridCol w:w="1145"/>
        <w:gridCol w:w="1419"/>
        <w:gridCol w:w="1677"/>
        <w:gridCol w:w="1549"/>
      </w:tblGrid>
      <w:tr w:rsidR="00067B91" w:rsidTr="00CC77AB">
        <w:trPr>
          <w:trHeight w:val="784"/>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b/>
                <w:bCs/>
                <w:kern w:val="0"/>
                <w:sz w:val="22"/>
              </w:rPr>
            </w:pPr>
            <w:r>
              <w:rPr>
                <w:rFonts w:ascii="宋体" w:hAnsi="宋体" w:cs="宋体" w:hint="eastAsia"/>
                <w:b/>
                <w:bCs/>
                <w:kern w:val="0"/>
                <w:sz w:val="22"/>
              </w:rPr>
              <w:t>地区</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b/>
                <w:bCs/>
                <w:color w:val="000000"/>
                <w:kern w:val="0"/>
                <w:sz w:val="22"/>
              </w:rPr>
            </w:pPr>
            <w:r>
              <w:rPr>
                <w:rFonts w:ascii="宋体" w:hAnsi="宋体" w:cs="宋体" w:hint="eastAsia"/>
                <w:b/>
                <w:bCs/>
                <w:color w:val="000000"/>
                <w:kern w:val="0"/>
                <w:sz w:val="22"/>
              </w:rPr>
              <w:t>提取额</w:t>
            </w:r>
          </w:p>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（亿元）</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b/>
                <w:bCs/>
                <w:color w:val="000000"/>
                <w:kern w:val="0"/>
                <w:sz w:val="22"/>
              </w:rPr>
            </w:pPr>
            <w:r>
              <w:rPr>
                <w:rFonts w:ascii="宋体" w:hAnsi="宋体" w:cs="宋体" w:hint="eastAsia"/>
                <w:b/>
                <w:bCs/>
                <w:color w:val="000000"/>
                <w:kern w:val="0"/>
                <w:sz w:val="22"/>
              </w:rPr>
              <w:t>提取率</w:t>
            </w:r>
          </w:p>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住房消费提取额（亿元）</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非住房消费提取额（亿元）</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宋体" w:hAnsi="宋体" w:cs="宋体" w:hint="eastAsia"/>
                <w:b/>
                <w:bCs/>
                <w:color w:val="000000"/>
                <w:kern w:val="0"/>
                <w:sz w:val="22"/>
              </w:rPr>
            </w:pPr>
            <w:r>
              <w:rPr>
                <w:rFonts w:ascii="宋体" w:hAnsi="宋体" w:cs="宋体" w:hint="eastAsia"/>
                <w:b/>
                <w:bCs/>
                <w:color w:val="000000"/>
                <w:kern w:val="0"/>
                <w:sz w:val="22"/>
              </w:rPr>
              <w:t>提取总额</w:t>
            </w:r>
          </w:p>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（亿元）</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b/>
                <w:bCs/>
                <w:kern w:val="0"/>
                <w:sz w:val="22"/>
              </w:rPr>
            </w:pPr>
            <w:r>
              <w:rPr>
                <w:rFonts w:ascii="宋体" w:hAnsi="宋体" w:cs="宋体" w:hint="eastAsia"/>
                <w:b/>
                <w:bCs/>
                <w:kern w:val="0"/>
                <w:sz w:val="22"/>
              </w:rPr>
              <w:t>全国</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127</w:t>
            </w:r>
            <w:r>
              <w:rPr>
                <w:rFonts w:ascii="仿宋" w:eastAsia="仿宋" w:hAnsi="仿宋" w:cs="宋体"/>
                <w:b/>
                <w:bCs/>
                <w:color w:val="000000"/>
                <w:kern w:val="0"/>
                <w:sz w:val="22"/>
              </w:rPr>
              <w:t>29.80</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67.9</w:t>
            </w:r>
            <w:r>
              <w:rPr>
                <w:rFonts w:ascii="仿宋" w:eastAsia="仿宋" w:hAnsi="仿宋" w:cs="宋体"/>
                <w:b/>
                <w:bCs/>
                <w:color w:val="000000"/>
                <w:kern w:val="0"/>
                <w:sz w:val="22"/>
              </w:rPr>
              <w:t>8</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10118.</w:t>
            </w:r>
            <w:r>
              <w:rPr>
                <w:rFonts w:ascii="仿宋" w:eastAsia="仿宋" w:hAnsi="仿宋" w:cs="宋体"/>
                <w:b/>
                <w:bCs/>
                <w:color w:val="000000"/>
                <w:kern w:val="0"/>
                <w:sz w:val="22"/>
              </w:rPr>
              <w:t>95</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2610.8</w:t>
            </w:r>
            <w:r>
              <w:rPr>
                <w:rFonts w:ascii="仿宋" w:eastAsia="仿宋" w:hAnsi="仿宋" w:cs="宋体"/>
                <w:b/>
                <w:bCs/>
                <w:color w:val="000000"/>
                <w:kern w:val="0"/>
                <w:sz w:val="22"/>
              </w:rPr>
              <w:t>5</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7322</w:t>
            </w:r>
            <w:r>
              <w:rPr>
                <w:rFonts w:ascii="仿宋" w:eastAsia="仿宋" w:hAnsi="仿宋" w:cs="宋体"/>
                <w:b/>
                <w:bCs/>
                <w:color w:val="000000"/>
                <w:kern w:val="0"/>
                <w:sz w:val="22"/>
              </w:rPr>
              <w:t>4.38</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北京</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1261.91</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73.73</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1125.1</w:t>
            </w:r>
            <w:r>
              <w:rPr>
                <w:rFonts w:ascii="仿宋" w:eastAsia="仿宋" w:hAnsi="仿宋" w:cs="宋体"/>
                <w:color w:val="000000"/>
                <w:kern w:val="0"/>
                <w:sz w:val="22"/>
              </w:rPr>
              <w:t>7</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136.74</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7396.91</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天津</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362.19</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83.02</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288.30</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73.89</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2248.61</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河北</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311.99</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57.15</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216.99</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95.00</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2075.92</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lastRenderedPageBreak/>
              <w:t>山西</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141.80</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39.78</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100.11</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41.69</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1454.24</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内蒙古</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224.62</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65.05</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165.98</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58.64</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1153.43</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辽宁</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508.30</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72.31</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391.7</w:t>
            </w:r>
            <w:r>
              <w:rPr>
                <w:rFonts w:ascii="仿宋" w:eastAsia="仿宋" w:hAnsi="仿宋" w:cs="宋体"/>
                <w:color w:val="000000"/>
                <w:kern w:val="0"/>
                <w:sz w:val="22"/>
              </w:rPr>
              <w:t>7</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116.53</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3428.61</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吉林</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196.</w:t>
            </w:r>
            <w:r>
              <w:rPr>
                <w:rFonts w:ascii="仿宋" w:eastAsia="仿宋" w:hAnsi="仿宋" w:cs="宋体"/>
                <w:color w:val="000000"/>
                <w:kern w:val="0"/>
                <w:sz w:val="22"/>
              </w:rPr>
              <w:t>89</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66.08</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138.61</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58.28</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1145.6</w:t>
            </w:r>
            <w:r>
              <w:rPr>
                <w:rFonts w:ascii="仿宋" w:eastAsia="仿宋" w:hAnsi="仿宋" w:cs="宋体"/>
                <w:color w:val="000000"/>
                <w:kern w:val="0"/>
                <w:sz w:val="22"/>
              </w:rPr>
              <w:t>0</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黑龙江</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245.5</w:t>
            </w:r>
            <w:r>
              <w:rPr>
                <w:rFonts w:ascii="仿宋" w:eastAsia="仿宋" w:hAnsi="仿宋" w:cs="宋体"/>
                <w:color w:val="000000"/>
                <w:kern w:val="0"/>
                <w:sz w:val="22"/>
              </w:rPr>
              <w:t>2</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65.31</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175.01</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70.51</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1551.92</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上海</w:t>
            </w:r>
          </w:p>
        </w:tc>
        <w:tc>
          <w:tcPr>
            <w:tcW w:w="1368"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737.09</w:t>
            </w:r>
          </w:p>
        </w:tc>
        <w:tc>
          <w:tcPr>
            <w:tcW w:w="1145"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65.02</w:t>
            </w:r>
          </w:p>
        </w:tc>
        <w:tc>
          <w:tcPr>
            <w:tcW w:w="1419"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605.91</w:t>
            </w:r>
          </w:p>
        </w:tc>
        <w:tc>
          <w:tcPr>
            <w:tcW w:w="1677"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131.18</w:t>
            </w:r>
          </w:p>
        </w:tc>
        <w:tc>
          <w:tcPr>
            <w:tcW w:w="1549" w:type="dxa"/>
            <w:tcBorders>
              <w:top w:val="single" w:sz="8" w:space="0" w:color="auto"/>
              <w:left w:val="single" w:sz="8" w:space="0" w:color="auto"/>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4670.4</w:t>
            </w:r>
            <w:r>
              <w:rPr>
                <w:rFonts w:ascii="仿宋" w:eastAsia="仿宋" w:hAnsi="仿宋" w:cs="宋体"/>
                <w:color w:val="000000"/>
                <w:kern w:val="0"/>
                <w:sz w:val="22"/>
              </w:rPr>
              <w:t>4</w:t>
            </w:r>
          </w:p>
        </w:tc>
      </w:tr>
      <w:tr w:rsidR="00067B91" w:rsidTr="00CC77AB">
        <w:trPr>
          <w:trHeight w:val="420"/>
          <w:jc w:val="center"/>
        </w:trPr>
        <w:tc>
          <w:tcPr>
            <w:tcW w:w="110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江苏</w:t>
            </w:r>
          </w:p>
        </w:tc>
        <w:tc>
          <w:tcPr>
            <w:tcW w:w="1368"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1151.64</w:t>
            </w:r>
          </w:p>
        </w:tc>
        <w:tc>
          <w:tcPr>
            <w:tcW w:w="1145"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73.70</w:t>
            </w:r>
          </w:p>
        </w:tc>
        <w:tc>
          <w:tcPr>
            <w:tcW w:w="1419"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914.18</w:t>
            </w:r>
          </w:p>
        </w:tc>
        <w:tc>
          <w:tcPr>
            <w:tcW w:w="1677"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237.46</w:t>
            </w:r>
          </w:p>
        </w:tc>
        <w:tc>
          <w:tcPr>
            <w:tcW w:w="1549" w:type="dxa"/>
            <w:tcBorders>
              <w:top w:val="single" w:sz="8" w:space="0" w:color="auto"/>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6163.08</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浙江</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942.25</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79.11</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781.45</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160.80</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5124.2</w:t>
            </w:r>
            <w:r>
              <w:rPr>
                <w:rFonts w:ascii="仿宋" w:eastAsia="仿宋" w:hAnsi="仿宋" w:cs="宋体"/>
                <w:color w:val="000000"/>
                <w:kern w:val="0"/>
                <w:sz w:val="22"/>
              </w:rPr>
              <w:t>7</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安徽</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441.83</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80.88</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340.88</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100.95</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2674.15</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福建</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366.54</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69.98</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280.58</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85.96</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2155.76</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江西</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201.5</w:t>
            </w:r>
            <w:r>
              <w:rPr>
                <w:rFonts w:ascii="仿宋" w:eastAsia="仿宋" w:hAnsi="仿宋" w:cs="宋体"/>
                <w:color w:val="000000"/>
                <w:kern w:val="0"/>
                <w:sz w:val="22"/>
              </w:rPr>
              <w:t>6</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58.10</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147.23</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54.33</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932.89</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山东</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712.40</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68.37</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563.83</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148.57</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3758.12</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FFFFFF"/>
                <w:kern w:val="0"/>
                <w:sz w:val="22"/>
              </w:rPr>
            </w:pPr>
            <w:r>
              <w:rPr>
                <w:rFonts w:ascii="宋体" w:hAnsi="宋体" w:cs="宋体" w:hint="eastAsia"/>
                <w:kern w:val="0"/>
                <w:sz w:val="22"/>
              </w:rPr>
              <w:t>河南</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FFFFFF"/>
                <w:kern w:val="0"/>
                <w:sz w:val="22"/>
              </w:rPr>
            </w:pPr>
            <w:r>
              <w:rPr>
                <w:rFonts w:ascii="仿宋" w:eastAsia="仿宋" w:hAnsi="仿宋" w:cs="宋体" w:hint="eastAsia"/>
                <w:color w:val="000000"/>
                <w:kern w:val="0"/>
                <w:sz w:val="22"/>
              </w:rPr>
              <w:t>332.86</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FFFFFF"/>
                <w:kern w:val="0"/>
                <w:sz w:val="22"/>
              </w:rPr>
            </w:pPr>
            <w:r>
              <w:rPr>
                <w:rFonts w:ascii="仿宋" w:eastAsia="仿宋" w:hAnsi="仿宋" w:cs="宋体" w:hint="eastAsia"/>
                <w:color w:val="000000"/>
                <w:kern w:val="0"/>
                <w:sz w:val="22"/>
              </w:rPr>
              <w:t>55.14</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FFFFFF"/>
                <w:kern w:val="0"/>
                <w:sz w:val="22"/>
              </w:rPr>
            </w:pPr>
            <w:r>
              <w:rPr>
                <w:rFonts w:ascii="仿宋" w:eastAsia="仿宋" w:hAnsi="仿宋" w:cs="宋体" w:hint="eastAsia"/>
                <w:color w:val="000000"/>
                <w:kern w:val="0"/>
                <w:sz w:val="22"/>
              </w:rPr>
              <w:t>243.85</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FFFFFF"/>
                <w:kern w:val="0"/>
                <w:szCs w:val="21"/>
              </w:rPr>
            </w:pPr>
            <w:r>
              <w:rPr>
                <w:rFonts w:ascii="仿宋" w:eastAsia="仿宋" w:hAnsi="仿宋" w:cs="宋体" w:hint="eastAsia"/>
                <w:color w:val="000000"/>
                <w:kern w:val="0"/>
                <w:szCs w:val="21"/>
              </w:rPr>
              <w:t>89.0</w:t>
            </w:r>
            <w:r>
              <w:rPr>
                <w:rFonts w:ascii="仿宋" w:eastAsia="仿宋" w:hAnsi="仿宋" w:cs="宋体"/>
                <w:color w:val="000000"/>
                <w:kern w:val="0"/>
                <w:szCs w:val="21"/>
              </w:rPr>
              <w:t>1</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FFFFFF"/>
                <w:kern w:val="0"/>
                <w:sz w:val="22"/>
              </w:rPr>
            </w:pPr>
            <w:r>
              <w:rPr>
                <w:rFonts w:ascii="仿宋" w:eastAsia="仿宋" w:hAnsi="仿宋" w:cs="宋体" w:hint="eastAsia"/>
                <w:color w:val="000000"/>
                <w:kern w:val="0"/>
                <w:sz w:val="22"/>
              </w:rPr>
              <w:t>1952.92</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FFFFFF"/>
                <w:kern w:val="0"/>
                <w:sz w:val="22"/>
              </w:rPr>
            </w:pPr>
            <w:r>
              <w:rPr>
                <w:rFonts w:ascii="宋体" w:hAnsi="宋体" w:cs="宋体" w:hint="eastAsia"/>
                <w:kern w:val="0"/>
                <w:sz w:val="22"/>
              </w:rPr>
              <w:t>湖北</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FFFFFF"/>
                <w:kern w:val="0"/>
                <w:sz w:val="22"/>
              </w:rPr>
            </w:pPr>
            <w:r>
              <w:rPr>
                <w:rFonts w:ascii="仿宋" w:eastAsia="仿宋" w:hAnsi="仿宋" w:cs="宋体" w:hint="eastAsia"/>
                <w:color w:val="000000"/>
                <w:kern w:val="0"/>
                <w:sz w:val="22"/>
              </w:rPr>
              <w:t>413.0</w:t>
            </w:r>
            <w:r>
              <w:rPr>
                <w:rFonts w:ascii="仿宋" w:eastAsia="仿宋" w:hAnsi="仿宋" w:cs="宋体"/>
                <w:color w:val="000000"/>
                <w:kern w:val="0"/>
                <w:sz w:val="22"/>
              </w:rPr>
              <w:t>1</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FFFFFF"/>
                <w:kern w:val="0"/>
                <w:sz w:val="22"/>
              </w:rPr>
            </w:pPr>
            <w:r>
              <w:rPr>
                <w:rFonts w:ascii="仿宋" w:eastAsia="仿宋" w:hAnsi="仿宋" w:cs="宋体" w:hint="eastAsia"/>
                <w:color w:val="000000"/>
                <w:kern w:val="0"/>
                <w:sz w:val="22"/>
              </w:rPr>
              <w:t>61.93</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FFFFFF"/>
                <w:kern w:val="0"/>
                <w:sz w:val="22"/>
              </w:rPr>
            </w:pPr>
            <w:r>
              <w:rPr>
                <w:rFonts w:ascii="仿宋" w:eastAsia="仿宋" w:hAnsi="仿宋" w:cs="宋体" w:hint="eastAsia"/>
                <w:color w:val="000000"/>
                <w:kern w:val="0"/>
                <w:sz w:val="22"/>
              </w:rPr>
              <w:t>305.62</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FFFFFF"/>
                <w:kern w:val="0"/>
                <w:sz w:val="22"/>
              </w:rPr>
            </w:pPr>
            <w:r>
              <w:rPr>
                <w:rFonts w:ascii="仿宋" w:eastAsia="仿宋" w:hAnsi="仿宋" w:cs="宋体" w:hint="eastAsia"/>
                <w:color w:val="000000"/>
                <w:kern w:val="0"/>
                <w:szCs w:val="21"/>
              </w:rPr>
              <w:t>107.</w:t>
            </w:r>
            <w:r>
              <w:rPr>
                <w:rFonts w:ascii="仿宋" w:eastAsia="仿宋" w:hAnsi="仿宋" w:cs="宋体"/>
                <w:color w:val="000000"/>
                <w:kern w:val="0"/>
                <w:szCs w:val="21"/>
              </w:rPr>
              <w:t>39</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hint="eastAsia"/>
                <w:color w:val="FFFFFF"/>
                <w:kern w:val="0"/>
                <w:sz w:val="22"/>
              </w:rPr>
            </w:pPr>
            <w:r>
              <w:rPr>
                <w:rFonts w:ascii="仿宋" w:eastAsia="仿宋" w:hAnsi="仿宋" w:cs="宋体" w:hint="eastAsia"/>
                <w:color w:val="000000"/>
                <w:kern w:val="0"/>
                <w:sz w:val="22"/>
              </w:rPr>
              <w:t>2009.27</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湖南</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314.4</w:t>
            </w:r>
            <w:r>
              <w:rPr>
                <w:rFonts w:ascii="仿宋" w:eastAsia="仿宋" w:hAnsi="仿宋" w:cs="宋体"/>
                <w:color w:val="000000"/>
                <w:kern w:val="0"/>
                <w:sz w:val="22"/>
              </w:rPr>
              <w:t>8</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59.28</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233.08</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81.40</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1572.89</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广东</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1458.17</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71.65</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1235.91</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222.26</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8304.58</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广西</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260.12</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68.88</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206.23</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53.89</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1507.25</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海南</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83.6</w:t>
            </w:r>
            <w:r>
              <w:rPr>
                <w:rFonts w:ascii="仿宋" w:eastAsia="仿宋" w:hAnsi="仿宋" w:cs="宋体"/>
                <w:color w:val="000000"/>
                <w:kern w:val="0"/>
                <w:sz w:val="22"/>
              </w:rPr>
              <w:t>6</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75.48</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64.64</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19.02</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365.52</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重庆</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231.75</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68.63</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182.20</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49.55</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1210.22</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四川</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564.91</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64.34</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443.54</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121.37</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2995.26</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贵州</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17</w:t>
            </w:r>
            <w:r>
              <w:rPr>
                <w:rFonts w:ascii="仿宋" w:eastAsia="仿宋" w:hAnsi="仿宋" w:cs="宋体"/>
                <w:color w:val="000000"/>
                <w:kern w:val="0"/>
                <w:sz w:val="22"/>
              </w:rPr>
              <w:t>4.60</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55.</w:t>
            </w:r>
            <w:r>
              <w:rPr>
                <w:rFonts w:ascii="仿宋" w:eastAsia="仿宋" w:hAnsi="仿宋" w:cs="宋体"/>
                <w:color w:val="000000"/>
                <w:kern w:val="0"/>
                <w:sz w:val="22"/>
              </w:rPr>
              <w:t>2</w:t>
            </w:r>
            <w:r>
              <w:rPr>
                <w:rFonts w:ascii="仿宋" w:eastAsia="仿宋" w:hAnsi="仿宋" w:cs="宋体" w:hint="eastAsia"/>
                <w:color w:val="000000"/>
                <w:kern w:val="0"/>
                <w:sz w:val="22"/>
              </w:rPr>
              <w:t>5</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131.</w:t>
            </w:r>
            <w:r>
              <w:rPr>
                <w:rFonts w:ascii="仿宋" w:eastAsia="仿宋" w:hAnsi="仿宋" w:cs="宋体"/>
                <w:color w:val="000000"/>
                <w:kern w:val="0"/>
                <w:sz w:val="22"/>
              </w:rPr>
              <w:t>96</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42.64</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829.24</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云南</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296.1</w:t>
            </w:r>
            <w:r>
              <w:rPr>
                <w:rFonts w:ascii="仿宋" w:eastAsia="仿宋" w:hAnsi="仿宋" w:cs="宋体"/>
                <w:color w:val="000000"/>
                <w:kern w:val="0"/>
                <w:sz w:val="22"/>
              </w:rPr>
              <w:t>9</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63.64</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237.87</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58.32</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1650.03</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西藏</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42.0</w:t>
            </w:r>
            <w:r>
              <w:rPr>
                <w:rFonts w:ascii="仿宋" w:eastAsia="仿宋" w:hAnsi="仿宋" w:cs="宋体"/>
                <w:color w:val="000000"/>
                <w:kern w:val="0"/>
                <w:sz w:val="22"/>
              </w:rPr>
              <w:t>8</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57.10</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32.69</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9.39</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186.69</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陕西</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220.5</w:t>
            </w:r>
            <w:r>
              <w:rPr>
                <w:rFonts w:ascii="仿宋" w:eastAsia="仿宋" w:hAnsi="仿宋" w:cs="宋体"/>
                <w:color w:val="000000"/>
                <w:kern w:val="0"/>
                <w:sz w:val="22"/>
              </w:rPr>
              <w:t>1</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55.11</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168.4</w:t>
            </w:r>
            <w:r>
              <w:rPr>
                <w:rFonts w:ascii="仿宋" w:eastAsia="仿宋" w:hAnsi="仿宋" w:cs="宋体"/>
                <w:color w:val="000000"/>
                <w:kern w:val="0"/>
                <w:sz w:val="22"/>
              </w:rPr>
              <w:t>8</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52.03</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162</w:t>
            </w:r>
            <w:r>
              <w:rPr>
                <w:rFonts w:ascii="仿宋" w:eastAsia="仿宋" w:hAnsi="仿宋" w:cs="宋体"/>
                <w:color w:val="000000"/>
                <w:kern w:val="0"/>
                <w:sz w:val="22"/>
              </w:rPr>
              <w:t>8.79</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甘肃</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151.37</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60.58</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105.45</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45.92</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804.06</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青海</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69.00</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72.77</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51.89</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17.11</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367.59</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宁夏</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74.54</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78.26</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61.55</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12.99</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424.41</w:t>
            </w:r>
          </w:p>
        </w:tc>
      </w:tr>
      <w:tr w:rsidR="00067B91" w:rsidTr="00CC77AB">
        <w:trPr>
          <w:trHeight w:val="420"/>
          <w:jc w:val="center"/>
        </w:trPr>
        <w:tc>
          <w:tcPr>
            <w:tcW w:w="110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新疆</w:t>
            </w:r>
          </w:p>
        </w:tc>
        <w:tc>
          <w:tcPr>
            <w:tcW w:w="1368"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214.63</w:t>
            </w:r>
          </w:p>
        </w:tc>
        <w:tc>
          <w:tcPr>
            <w:tcW w:w="1145"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63.68</w:t>
            </w:r>
          </w:p>
        </w:tc>
        <w:tc>
          <w:tcPr>
            <w:tcW w:w="1419"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163.24</w:t>
            </w:r>
          </w:p>
        </w:tc>
        <w:tc>
          <w:tcPr>
            <w:tcW w:w="1677" w:type="dxa"/>
            <w:tcBorders>
              <w:top w:val="nil"/>
              <w:left w:val="nil"/>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51.39</w:t>
            </w:r>
          </w:p>
        </w:tc>
        <w:tc>
          <w:tcPr>
            <w:tcW w:w="1549" w:type="dxa"/>
            <w:tcBorders>
              <w:top w:val="nil"/>
              <w:left w:val="nil"/>
              <w:bottom w:val="single" w:sz="8"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13</w:t>
            </w:r>
            <w:r>
              <w:rPr>
                <w:rFonts w:ascii="仿宋" w:eastAsia="仿宋" w:hAnsi="仿宋" w:cs="宋体"/>
                <w:color w:val="000000"/>
                <w:kern w:val="0"/>
                <w:sz w:val="22"/>
              </w:rPr>
              <w:t>81.56</w:t>
            </w:r>
          </w:p>
        </w:tc>
      </w:tr>
      <w:tr w:rsidR="00067B91" w:rsidTr="00CC77AB">
        <w:trPr>
          <w:trHeight w:val="420"/>
          <w:jc w:val="center"/>
        </w:trPr>
        <w:tc>
          <w:tcPr>
            <w:tcW w:w="1100" w:type="dxa"/>
            <w:tcBorders>
              <w:top w:val="nil"/>
              <w:left w:val="nil"/>
              <w:bottom w:val="single" w:sz="12" w:space="0" w:color="auto"/>
              <w:right w:val="single" w:sz="8" w:space="0" w:color="auto"/>
            </w:tcBorders>
            <w:vAlign w:val="center"/>
          </w:tcPr>
          <w:p w:rsidR="00067B91" w:rsidRDefault="00067B91" w:rsidP="00CC77AB">
            <w:pPr>
              <w:widowControl/>
              <w:jc w:val="center"/>
              <w:rPr>
                <w:rFonts w:ascii="宋体" w:hAnsi="宋体" w:cs="宋体"/>
                <w:kern w:val="0"/>
                <w:sz w:val="22"/>
              </w:rPr>
            </w:pPr>
            <w:r>
              <w:rPr>
                <w:rFonts w:ascii="宋体" w:hAnsi="宋体" w:cs="宋体" w:hint="eastAsia"/>
                <w:kern w:val="0"/>
                <w:sz w:val="22"/>
              </w:rPr>
              <w:t>新疆兵团</w:t>
            </w:r>
          </w:p>
        </w:tc>
        <w:tc>
          <w:tcPr>
            <w:tcW w:w="1368" w:type="dxa"/>
            <w:tcBorders>
              <w:top w:val="nil"/>
              <w:left w:val="nil"/>
              <w:bottom w:val="single" w:sz="12"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21.39</w:t>
            </w:r>
          </w:p>
        </w:tc>
        <w:tc>
          <w:tcPr>
            <w:tcW w:w="1145" w:type="dxa"/>
            <w:tcBorders>
              <w:top w:val="nil"/>
              <w:left w:val="nil"/>
              <w:bottom w:val="single" w:sz="12"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60.22</w:t>
            </w:r>
          </w:p>
        </w:tc>
        <w:tc>
          <w:tcPr>
            <w:tcW w:w="1419" w:type="dxa"/>
            <w:tcBorders>
              <w:top w:val="nil"/>
              <w:left w:val="nil"/>
              <w:bottom w:val="single" w:sz="12"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14.75</w:t>
            </w:r>
          </w:p>
        </w:tc>
        <w:tc>
          <w:tcPr>
            <w:tcW w:w="1677" w:type="dxa"/>
            <w:tcBorders>
              <w:top w:val="nil"/>
              <w:left w:val="nil"/>
              <w:bottom w:val="single" w:sz="12"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6.64</w:t>
            </w:r>
          </w:p>
        </w:tc>
        <w:tc>
          <w:tcPr>
            <w:tcW w:w="1549" w:type="dxa"/>
            <w:tcBorders>
              <w:top w:val="nil"/>
              <w:left w:val="nil"/>
              <w:bottom w:val="single" w:sz="12" w:space="0" w:color="auto"/>
              <w:right w:val="nil"/>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100.15</w:t>
            </w:r>
          </w:p>
        </w:tc>
      </w:tr>
    </w:tbl>
    <w:p w:rsidR="00067B91" w:rsidRDefault="00067B91" w:rsidP="00067B91">
      <w:pPr>
        <w:keepNext/>
        <w:adjustRightInd w:val="0"/>
        <w:snapToGrid w:val="0"/>
        <w:spacing w:beforeLines="50" w:line="360" w:lineRule="auto"/>
        <w:rPr>
          <w:rFonts w:ascii="宋体" w:hAnsi="宋体" w:cs="宋体" w:hint="eastAsia"/>
          <w:b/>
          <w:bCs/>
          <w:kern w:val="0"/>
          <w:sz w:val="30"/>
          <w:szCs w:val="30"/>
        </w:rPr>
      </w:pPr>
      <w:r>
        <w:rPr>
          <w:rFonts w:ascii="宋体" w:hAnsi="宋体" w:cs="宋体" w:hint="eastAsia"/>
          <w:b/>
          <w:bCs/>
          <w:kern w:val="0"/>
          <w:sz w:val="30"/>
          <w:szCs w:val="30"/>
        </w:rPr>
        <w:lastRenderedPageBreak/>
        <w:t xml:space="preserve">             表4  2017年各类型住房公积金提取情况</w:t>
      </w:r>
    </w:p>
    <w:tbl>
      <w:tblPr>
        <w:tblW w:w="0" w:type="auto"/>
        <w:jc w:val="center"/>
        <w:tblLayout w:type="fixed"/>
        <w:tblCellMar>
          <w:left w:w="0" w:type="dxa"/>
          <w:right w:w="0" w:type="dxa"/>
        </w:tblCellMar>
        <w:tblLook w:val="0000"/>
      </w:tblPr>
      <w:tblGrid>
        <w:gridCol w:w="1994"/>
        <w:gridCol w:w="1665"/>
        <w:gridCol w:w="1530"/>
        <w:gridCol w:w="1680"/>
        <w:gridCol w:w="1573"/>
      </w:tblGrid>
      <w:tr w:rsidR="00067B91" w:rsidTr="00CC77AB">
        <w:trPr>
          <w:trHeight w:val="754"/>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keepNext/>
              <w:adjustRightInd w:val="0"/>
              <w:spacing w:line="360" w:lineRule="auto"/>
              <w:jc w:val="center"/>
              <w:rPr>
                <w:rFonts w:ascii="宋体" w:hAnsi="宋体" w:cs="宋体" w:hint="eastAsia"/>
                <w:b/>
                <w:bCs/>
                <w:kern w:val="0"/>
                <w:sz w:val="22"/>
                <w:szCs w:val="24"/>
              </w:rPr>
            </w:pPr>
            <w:r>
              <w:rPr>
                <w:rFonts w:ascii="宋体" w:hAnsi="宋体" w:cs="宋体" w:hint="eastAsia"/>
                <w:b/>
                <w:bCs/>
                <w:kern w:val="0"/>
                <w:sz w:val="22"/>
                <w:szCs w:val="24"/>
              </w:rPr>
              <w:t>提取原因</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keepNext/>
              <w:autoSpaceDN w:val="0"/>
              <w:jc w:val="center"/>
              <w:textAlignment w:val="center"/>
              <w:rPr>
                <w:rFonts w:ascii="宋体" w:hAnsi="宋体" w:hint="eastAsia"/>
                <w:b/>
                <w:bCs/>
                <w:color w:val="000000"/>
                <w:sz w:val="22"/>
              </w:rPr>
            </w:pPr>
            <w:r>
              <w:rPr>
                <w:rFonts w:ascii="宋体" w:hAnsi="宋体" w:hint="eastAsia"/>
                <w:b/>
                <w:bCs/>
                <w:color w:val="000000"/>
                <w:sz w:val="22"/>
              </w:rPr>
              <w:t>提取人数</w:t>
            </w:r>
          </w:p>
          <w:p w:rsidR="00067B91" w:rsidRDefault="00067B91" w:rsidP="00CC77AB">
            <w:pPr>
              <w:keepNext/>
              <w:autoSpaceDN w:val="0"/>
              <w:jc w:val="center"/>
              <w:textAlignment w:val="center"/>
              <w:rPr>
                <w:rFonts w:ascii="宋体" w:hAnsi="宋体"/>
                <w:b/>
                <w:bCs/>
                <w:color w:val="000000"/>
                <w:sz w:val="22"/>
                <w:szCs w:val="24"/>
              </w:rPr>
            </w:pPr>
            <w:r>
              <w:rPr>
                <w:rFonts w:ascii="宋体" w:hAnsi="宋体" w:hint="eastAsia"/>
                <w:b/>
                <w:bCs/>
                <w:color w:val="000000"/>
                <w:sz w:val="22"/>
              </w:rPr>
              <w:t>（万人）</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keepNext/>
              <w:autoSpaceDN w:val="0"/>
              <w:jc w:val="center"/>
              <w:textAlignment w:val="center"/>
              <w:rPr>
                <w:rFonts w:ascii="宋体" w:hAnsi="宋体"/>
                <w:b/>
                <w:bCs/>
                <w:color w:val="000000"/>
                <w:sz w:val="22"/>
                <w:szCs w:val="24"/>
              </w:rPr>
            </w:pPr>
            <w:r>
              <w:rPr>
                <w:rFonts w:ascii="宋体" w:hAnsi="宋体" w:hint="eastAsia"/>
                <w:b/>
                <w:bCs/>
                <w:color w:val="000000"/>
                <w:sz w:val="22"/>
              </w:rPr>
              <w:t>占比（%）</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keepNext/>
              <w:autoSpaceDN w:val="0"/>
              <w:jc w:val="center"/>
              <w:textAlignment w:val="center"/>
              <w:rPr>
                <w:rFonts w:ascii="宋体" w:hAnsi="宋体"/>
                <w:b/>
                <w:bCs/>
                <w:color w:val="000000"/>
                <w:sz w:val="22"/>
                <w:szCs w:val="24"/>
              </w:rPr>
            </w:pPr>
            <w:r>
              <w:rPr>
                <w:rFonts w:ascii="宋体" w:hAnsi="宋体" w:hint="eastAsia"/>
                <w:b/>
                <w:bCs/>
                <w:color w:val="000000"/>
                <w:sz w:val="22"/>
              </w:rPr>
              <w:t>提取金额     （亿元）</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keepNext/>
              <w:autoSpaceDN w:val="0"/>
              <w:jc w:val="center"/>
              <w:textAlignment w:val="center"/>
              <w:rPr>
                <w:rFonts w:ascii="宋体" w:hAnsi="宋体"/>
                <w:b/>
                <w:bCs/>
                <w:szCs w:val="24"/>
              </w:rPr>
            </w:pPr>
            <w:r>
              <w:rPr>
                <w:rFonts w:ascii="宋体" w:hAnsi="宋体" w:hint="eastAsia"/>
                <w:b/>
                <w:bCs/>
                <w:color w:val="000000"/>
                <w:sz w:val="22"/>
              </w:rPr>
              <w:t>占比（%）</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kern w:val="0"/>
                <w:sz w:val="24"/>
                <w:szCs w:val="24"/>
              </w:rPr>
            </w:pPr>
            <w:r>
              <w:rPr>
                <w:rFonts w:ascii="宋体" w:hAnsi="宋体" w:cs="宋体" w:hint="eastAsia"/>
                <w:kern w:val="0"/>
                <w:sz w:val="22"/>
                <w:szCs w:val="24"/>
              </w:rPr>
              <w:t>购买、建造、翻建、大修自住住房</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hint="eastAsia"/>
                <w:bCs/>
                <w:color w:val="000000"/>
                <w:sz w:val="22"/>
              </w:rPr>
              <w:t>713.84</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15.</w:t>
            </w:r>
            <w:r>
              <w:rPr>
                <w:rFonts w:ascii="仿宋" w:eastAsia="仿宋" w:hAnsi="仿宋" w:cs="宋体" w:hint="eastAsia"/>
                <w:bCs/>
                <w:color w:val="000000"/>
                <w:sz w:val="22"/>
              </w:rPr>
              <w:t>22</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FF0000"/>
                <w:sz w:val="22"/>
              </w:rPr>
            </w:pPr>
            <w:r>
              <w:rPr>
                <w:rFonts w:ascii="仿宋" w:eastAsia="仿宋" w:hAnsi="仿宋" w:cs="宋体" w:hint="eastAsia"/>
                <w:bCs/>
                <w:sz w:val="22"/>
              </w:rPr>
              <w:t>3927.35</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30.8</w:t>
            </w:r>
            <w:r>
              <w:rPr>
                <w:rFonts w:ascii="仿宋" w:eastAsia="仿宋" w:hAnsi="仿宋" w:cs="宋体" w:hint="eastAsia"/>
                <w:bCs/>
                <w:color w:val="000000"/>
                <w:sz w:val="22"/>
              </w:rPr>
              <w:t>5</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偿还购房贷款本息</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hint="eastAsia"/>
                <w:bCs/>
                <w:color w:val="000000"/>
                <w:sz w:val="22"/>
              </w:rPr>
              <w:t>2570.31</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54.</w:t>
            </w:r>
            <w:r>
              <w:rPr>
                <w:rFonts w:ascii="仿宋" w:eastAsia="仿宋" w:hAnsi="仿宋" w:cs="宋体" w:hint="eastAsia"/>
                <w:bCs/>
                <w:color w:val="000000"/>
                <w:sz w:val="22"/>
              </w:rPr>
              <w:t>81</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hint="eastAsia"/>
                <w:bCs/>
                <w:color w:val="000000"/>
                <w:sz w:val="22"/>
              </w:rPr>
              <w:t>5534.93</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43.</w:t>
            </w:r>
            <w:r>
              <w:rPr>
                <w:rFonts w:ascii="仿宋" w:eastAsia="仿宋" w:hAnsi="仿宋" w:cs="宋体" w:hint="eastAsia"/>
                <w:bCs/>
                <w:color w:val="000000"/>
                <w:sz w:val="22"/>
              </w:rPr>
              <w:t>48</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pacing w:line="360" w:lineRule="auto"/>
              <w:jc w:val="center"/>
              <w:rPr>
                <w:rFonts w:ascii="宋体" w:hAnsi="宋体" w:cs="宋体"/>
                <w:kern w:val="0"/>
                <w:sz w:val="22"/>
              </w:rPr>
            </w:pPr>
            <w:r>
              <w:rPr>
                <w:rFonts w:ascii="宋体" w:hAnsi="宋体" w:cs="宋体" w:hint="eastAsia"/>
                <w:kern w:val="0"/>
                <w:sz w:val="22"/>
                <w:szCs w:val="24"/>
              </w:rPr>
              <w:t>租赁住房</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bCs/>
                <w:color w:val="000000"/>
                <w:sz w:val="22"/>
              </w:rPr>
            </w:pPr>
            <w:r>
              <w:rPr>
                <w:rFonts w:ascii="仿宋" w:eastAsia="仿宋" w:hAnsi="仿宋" w:cs="宋体"/>
                <w:bCs/>
                <w:color w:val="000000"/>
                <w:sz w:val="22"/>
              </w:rPr>
              <w:t>49</w:t>
            </w:r>
            <w:r>
              <w:rPr>
                <w:rFonts w:ascii="仿宋" w:eastAsia="仿宋" w:hAnsi="仿宋" w:cs="宋体" w:hint="eastAsia"/>
                <w:bCs/>
                <w:color w:val="000000"/>
                <w:sz w:val="22"/>
              </w:rPr>
              <w:t>5.52</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10.5</w:t>
            </w:r>
            <w:r>
              <w:rPr>
                <w:rFonts w:ascii="仿宋" w:eastAsia="仿宋" w:hAnsi="仿宋" w:cs="宋体" w:hint="eastAsia"/>
                <w:bCs/>
                <w:color w:val="000000"/>
                <w:sz w:val="22"/>
              </w:rPr>
              <w:t>7</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hint="eastAsia"/>
                <w:bCs/>
                <w:color w:val="000000"/>
                <w:sz w:val="22"/>
              </w:rPr>
              <w:t>444.76</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3.</w:t>
            </w:r>
            <w:r>
              <w:rPr>
                <w:rFonts w:ascii="仿宋" w:eastAsia="仿宋" w:hAnsi="仿宋" w:cs="宋体" w:hint="eastAsia"/>
                <w:bCs/>
                <w:color w:val="000000"/>
                <w:sz w:val="22"/>
              </w:rPr>
              <w:t>49</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其他住房消费</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bCs/>
                <w:color w:val="000000"/>
                <w:sz w:val="22"/>
              </w:rPr>
            </w:pPr>
            <w:r>
              <w:rPr>
                <w:rFonts w:ascii="仿宋" w:eastAsia="仿宋" w:hAnsi="仿宋" w:cs="宋体"/>
                <w:bCs/>
                <w:color w:val="000000"/>
                <w:sz w:val="22"/>
              </w:rPr>
              <w:t>168.</w:t>
            </w:r>
            <w:r>
              <w:rPr>
                <w:rFonts w:ascii="仿宋" w:eastAsia="仿宋" w:hAnsi="仿宋" w:cs="宋体" w:hint="eastAsia"/>
                <w:bCs/>
                <w:color w:val="000000"/>
                <w:sz w:val="22"/>
              </w:rPr>
              <w:t>69</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3.</w:t>
            </w:r>
            <w:r>
              <w:rPr>
                <w:rFonts w:ascii="仿宋" w:eastAsia="仿宋" w:hAnsi="仿宋" w:cs="宋体" w:hint="eastAsia"/>
                <w:bCs/>
                <w:color w:val="000000"/>
                <w:sz w:val="22"/>
              </w:rPr>
              <w:t>60</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hint="eastAsia"/>
                <w:bCs/>
                <w:color w:val="000000"/>
                <w:sz w:val="22"/>
              </w:rPr>
              <w:t>211.91</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1.6</w:t>
            </w:r>
            <w:r>
              <w:rPr>
                <w:rFonts w:ascii="仿宋" w:eastAsia="仿宋" w:hAnsi="仿宋" w:cs="宋体" w:hint="eastAsia"/>
                <w:bCs/>
                <w:color w:val="000000"/>
                <w:sz w:val="22"/>
              </w:rPr>
              <w:t>7</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离退休</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265.03</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5.65</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1740.78</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13.67</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丧失劳动能力并与单位终止劳动关系</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bCs/>
                <w:color w:val="000000"/>
                <w:sz w:val="22"/>
              </w:rPr>
            </w:pPr>
            <w:r>
              <w:rPr>
                <w:rFonts w:ascii="仿宋" w:eastAsia="仿宋" w:hAnsi="仿宋" w:cs="宋体"/>
                <w:bCs/>
                <w:color w:val="000000"/>
                <w:sz w:val="22"/>
              </w:rPr>
              <w:t>14</w:t>
            </w:r>
            <w:r>
              <w:rPr>
                <w:rFonts w:ascii="仿宋" w:eastAsia="仿宋" w:hAnsi="仿宋" w:cs="宋体" w:hint="eastAsia"/>
                <w:bCs/>
                <w:color w:val="000000"/>
                <w:sz w:val="22"/>
              </w:rPr>
              <w:t>6.17</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3.1</w:t>
            </w:r>
            <w:r>
              <w:rPr>
                <w:rFonts w:ascii="仿宋" w:eastAsia="仿宋" w:hAnsi="仿宋" w:cs="宋体" w:hint="eastAsia"/>
                <w:bCs/>
                <w:color w:val="000000"/>
                <w:sz w:val="22"/>
              </w:rPr>
              <w:t>2</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255</w:t>
            </w:r>
            <w:r>
              <w:rPr>
                <w:rFonts w:ascii="仿宋" w:eastAsia="仿宋" w:hAnsi="仿宋" w:cs="宋体" w:hint="eastAsia"/>
                <w:bCs/>
                <w:color w:val="000000"/>
                <w:sz w:val="22"/>
              </w:rPr>
              <w:t>.</w:t>
            </w:r>
            <w:r>
              <w:rPr>
                <w:rFonts w:ascii="仿宋" w:eastAsia="仿宋" w:hAnsi="仿宋" w:cs="宋体"/>
                <w:bCs/>
                <w:color w:val="000000"/>
                <w:sz w:val="22"/>
              </w:rPr>
              <w:t>94</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2.01</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出境定居或户口迁出本市</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16</w:t>
            </w:r>
            <w:r>
              <w:rPr>
                <w:rFonts w:ascii="仿宋" w:eastAsia="仿宋" w:hAnsi="仿宋" w:cs="宋体" w:hint="eastAsia"/>
                <w:bCs/>
                <w:color w:val="000000"/>
                <w:sz w:val="22"/>
              </w:rPr>
              <w:t>8.49</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3.5</w:t>
            </w:r>
            <w:r>
              <w:rPr>
                <w:rFonts w:ascii="仿宋" w:eastAsia="仿宋" w:hAnsi="仿宋" w:cs="宋体" w:hint="eastAsia"/>
                <w:bCs/>
                <w:color w:val="000000"/>
                <w:sz w:val="22"/>
              </w:rPr>
              <w:t>9</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bCs/>
                <w:color w:val="000000"/>
                <w:sz w:val="22"/>
              </w:rPr>
            </w:pPr>
            <w:r>
              <w:rPr>
                <w:rFonts w:ascii="仿宋" w:eastAsia="仿宋" w:hAnsi="仿宋" w:cs="宋体"/>
                <w:bCs/>
                <w:color w:val="000000"/>
                <w:sz w:val="22"/>
              </w:rPr>
              <w:t>198</w:t>
            </w:r>
            <w:r>
              <w:rPr>
                <w:rFonts w:ascii="仿宋" w:eastAsia="仿宋" w:hAnsi="仿宋" w:cs="宋体" w:hint="eastAsia"/>
                <w:bCs/>
                <w:color w:val="000000"/>
                <w:sz w:val="22"/>
              </w:rPr>
              <w:t>.</w:t>
            </w:r>
            <w:r>
              <w:rPr>
                <w:rFonts w:ascii="仿宋" w:eastAsia="仿宋" w:hAnsi="仿宋" w:cs="宋体"/>
                <w:bCs/>
                <w:color w:val="000000"/>
                <w:sz w:val="22"/>
              </w:rPr>
              <w:t>16</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1.5</w:t>
            </w:r>
            <w:r>
              <w:rPr>
                <w:rFonts w:ascii="仿宋" w:eastAsia="仿宋" w:hAnsi="仿宋" w:cs="宋体" w:hint="eastAsia"/>
                <w:bCs/>
                <w:color w:val="000000"/>
                <w:sz w:val="22"/>
              </w:rPr>
              <w:t>6</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死亡或宣告死亡</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bCs/>
                <w:color w:val="000000"/>
                <w:sz w:val="22"/>
              </w:rPr>
            </w:pPr>
            <w:r>
              <w:rPr>
                <w:rFonts w:ascii="仿宋" w:eastAsia="仿宋" w:hAnsi="仿宋" w:cs="宋体"/>
                <w:bCs/>
                <w:color w:val="000000"/>
                <w:sz w:val="22"/>
              </w:rPr>
              <w:t>10</w:t>
            </w:r>
            <w:r>
              <w:rPr>
                <w:rFonts w:ascii="仿宋" w:eastAsia="仿宋" w:hAnsi="仿宋" w:cs="宋体" w:hint="eastAsia"/>
                <w:bCs/>
                <w:color w:val="000000"/>
                <w:sz w:val="22"/>
              </w:rPr>
              <w:t>.29</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0.22</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50</w:t>
            </w:r>
            <w:r>
              <w:rPr>
                <w:rFonts w:ascii="仿宋" w:eastAsia="仿宋" w:hAnsi="仿宋" w:cs="宋体" w:hint="eastAsia"/>
                <w:bCs/>
                <w:color w:val="000000"/>
                <w:sz w:val="22"/>
              </w:rPr>
              <w:t>.</w:t>
            </w:r>
            <w:r>
              <w:rPr>
                <w:rFonts w:ascii="仿宋" w:eastAsia="仿宋" w:hAnsi="仿宋" w:cs="宋体"/>
                <w:bCs/>
                <w:color w:val="000000"/>
                <w:sz w:val="22"/>
              </w:rPr>
              <w:t>82</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0.40</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其他非住房消费</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bCs/>
                <w:color w:val="000000"/>
                <w:sz w:val="22"/>
              </w:rPr>
            </w:pPr>
            <w:r>
              <w:rPr>
                <w:rFonts w:ascii="仿宋" w:eastAsia="仿宋" w:hAnsi="仿宋" w:cs="宋体"/>
                <w:bCs/>
                <w:color w:val="000000"/>
                <w:sz w:val="22"/>
              </w:rPr>
              <w:t>1</w:t>
            </w:r>
            <w:r>
              <w:rPr>
                <w:rFonts w:ascii="仿宋" w:eastAsia="仿宋" w:hAnsi="仿宋" w:cs="宋体" w:hint="eastAsia"/>
                <w:bCs/>
                <w:color w:val="000000"/>
                <w:sz w:val="22"/>
              </w:rPr>
              <w:t>51.15</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3.</w:t>
            </w:r>
            <w:r>
              <w:rPr>
                <w:rFonts w:ascii="仿宋" w:eastAsia="仿宋" w:hAnsi="仿宋" w:cs="宋体" w:hint="eastAsia"/>
                <w:bCs/>
                <w:color w:val="000000"/>
                <w:sz w:val="22"/>
              </w:rPr>
              <w:t>22</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365.1</w:t>
            </w:r>
            <w:r>
              <w:rPr>
                <w:rFonts w:ascii="仿宋" w:eastAsia="仿宋" w:hAnsi="仿宋" w:cs="宋体" w:hint="eastAsia"/>
                <w:bCs/>
                <w:color w:val="000000"/>
                <w:sz w:val="22"/>
              </w:rPr>
              <w:t>5</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hint="eastAsia"/>
                <w:bCs/>
                <w:color w:val="000000"/>
                <w:sz w:val="22"/>
              </w:rPr>
            </w:pPr>
            <w:r>
              <w:rPr>
                <w:rFonts w:ascii="仿宋" w:eastAsia="仿宋" w:hAnsi="仿宋" w:cs="宋体"/>
                <w:bCs/>
                <w:color w:val="000000"/>
                <w:sz w:val="22"/>
              </w:rPr>
              <w:t>2.87</w:t>
            </w:r>
          </w:p>
        </w:tc>
      </w:tr>
      <w:tr w:rsidR="00067B91" w:rsidTr="00CC77AB">
        <w:trPr>
          <w:trHeight w:val="510"/>
          <w:jc w:val="center"/>
        </w:trPr>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7B91" w:rsidRDefault="00067B91" w:rsidP="00CC77AB">
            <w:pPr>
              <w:adjustRightInd w:val="0"/>
              <w:snapToGrid w:val="0"/>
              <w:jc w:val="center"/>
              <w:rPr>
                <w:rFonts w:ascii="宋体" w:hAnsi="宋体" w:cs="宋体" w:hint="eastAsia"/>
                <w:b/>
                <w:bCs/>
                <w:kern w:val="0"/>
                <w:sz w:val="22"/>
                <w:szCs w:val="24"/>
              </w:rPr>
            </w:pPr>
            <w:r>
              <w:rPr>
                <w:rFonts w:ascii="宋体" w:hAnsi="宋体" w:cs="宋体" w:hint="eastAsia"/>
                <w:b/>
                <w:bCs/>
                <w:kern w:val="0"/>
                <w:sz w:val="22"/>
                <w:szCs w:val="24"/>
              </w:rPr>
              <w:t>合计</w:t>
            </w:r>
          </w:p>
        </w:tc>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jc w:val="center"/>
              <w:textAlignment w:val="center"/>
              <w:rPr>
                <w:rFonts w:ascii="仿宋" w:eastAsia="仿宋" w:hAnsi="仿宋" w:cs="宋体"/>
                <w:b/>
                <w:bCs/>
                <w:color w:val="000000"/>
                <w:sz w:val="22"/>
              </w:rPr>
            </w:pPr>
            <w:r>
              <w:rPr>
                <w:rFonts w:ascii="仿宋" w:eastAsia="仿宋" w:hAnsi="仿宋" w:cs="宋体" w:hint="eastAsia"/>
                <w:b/>
                <w:bCs/>
                <w:color w:val="000000"/>
                <w:sz w:val="22"/>
              </w:rPr>
              <w:t>4</w:t>
            </w:r>
            <w:r>
              <w:rPr>
                <w:rFonts w:ascii="仿宋" w:eastAsia="仿宋" w:hAnsi="仿宋" w:cs="宋体"/>
                <w:b/>
                <w:bCs/>
                <w:color w:val="000000"/>
                <w:sz w:val="22"/>
              </w:rPr>
              <w:t>689.49</w:t>
            </w:r>
          </w:p>
        </w:tc>
        <w:tc>
          <w:tcPr>
            <w:tcW w:w="153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b/>
                <w:bCs/>
                <w:color w:val="000000"/>
                <w:sz w:val="22"/>
              </w:rPr>
            </w:pPr>
            <w:r>
              <w:rPr>
                <w:rFonts w:ascii="仿宋" w:eastAsia="仿宋" w:hAnsi="仿宋" w:cs="宋体" w:hint="eastAsia"/>
                <w:b/>
                <w:bCs/>
                <w:color w:val="000000"/>
                <w:sz w:val="22"/>
              </w:rPr>
              <w:t>1</w:t>
            </w:r>
            <w:r>
              <w:rPr>
                <w:rFonts w:ascii="仿宋" w:eastAsia="仿宋" w:hAnsi="仿宋" w:cs="宋体"/>
                <w:b/>
                <w:bCs/>
                <w:color w:val="000000"/>
                <w:sz w:val="22"/>
              </w:rPr>
              <w:t>00</w:t>
            </w:r>
          </w:p>
        </w:tc>
        <w:tc>
          <w:tcPr>
            <w:tcW w:w="168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jc w:val="center"/>
              <w:textAlignment w:val="center"/>
              <w:rPr>
                <w:rFonts w:ascii="仿宋" w:eastAsia="仿宋" w:hAnsi="仿宋" w:cs="宋体"/>
                <w:b/>
                <w:bCs/>
                <w:color w:val="000000"/>
                <w:sz w:val="22"/>
              </w:rPr>
            </w:pPr>
            <w:r>
              <w:rPr>
                <w:rFonts w:ascii="仿宋" w:eastAsia="仿宋" w:hAnsi="仿宋" w:cs="宋体" w:hint="eastAsia"/>
                <w:b/>
                <w:bCs/>
                <w:color w:val="000000"/>
                <w:sz w:val="22"/>
              </w:rPr>
              <w:t>1</w:t>
            </w:r>
            <w:r>
              <w:rPr>
                <w:rFonts w:ascii="仿宋" w:eastAsia="仿宋" w:hAnsi="仿宋" w:cs="宋体"/>
                <w:b/>
                <w:bCs/>
                <w:color w:val="000000"/>
                <w:sz w:val="22"/>
              </w:rPr>
              <w:t>2729.80</w:t>
            </w:r>
          </w:p>
        </w:tc>
        <w:tc>
          <w:tcPr>
            <w:tcW w:w="1573" w:type="dxa"/>
            <w:tcBorders>
              <w:top w:val="single" w:sz="8" w:space="0" w:color="auto"/>
              <w:left w:val="single" w:sz="8" w:space="0" w:color="auto"/>
              <w:bottom w:val="single" w:sz="8" w:space="0" w:color="auto"/>
              <w:right w:val="nil"/>
            </w:tcBorders>
            <w:vAlign w:val="center"/>
          </w:tcPr>
          <w:p w:rsidR="00067B91" w:rsidRDefault="00067B91" w:rsidP="00CC77AB">
            <w:pPr>
              <w:jc w:val="center"/>
              <w:textAlignment w:val="center"/>
              <w:rPr>
                <w:rFonts w:ascii="仿宋" w:eastAsia="仿宋" w:hAnsi="仿宋" w:cs="宋体"/>
                <w:b/>
                <w:bCs/>
                <w:color w:val="000000"/>
                <w:sz w:val="22"/>
              </w:rPr>
            </w:pPr>
            <w:r>
              <w:rPr>
                <w:rFonts w:ascii="仿宋" w:eastAsia="仿宋" w:hAnsi="仿宋" w:cs="宋体" w:hint="eastAsia"/>
                <w:b/>
                <w:bCs/>
                <w:color w:val="000000"/>
                <w:sz w:val="22"/>
              </w:rPr>
              <w:t>1</w:t>
            </w:r>
            <w:r>
              <w:rPr>
                <w:rFonts w:ascii="仿宋" w:eastAsia="仿宋" w:hAnsi="仿宋" w:cs="宋体"/>
                <w:b/>
                <w:bCs/>
                <w:color w:val="000000"/>
                <w:sz w:val="22"/>
              </w:rPr>
              <w:t>00</w:t>
            </w:r>
          </w:p>
        </w:tc>
      </w:tr>
    </w:tbl>
    <w:p w:rsidR="00067B91" w:rsidRDefault="00067B91" w:rsidP="00067B91">
      <w:pPr>
        <w:keepNext/>
        <w:adjustRightInd w:val="0"/>
        <w:snapToGrid w:val="0"/>
        <w:spacing w:beforeLines="150" w:line="360" w:lineRule="auto"/>
        <w:jc w:val="center"/>
        <w:rPr>
          <w:rFonts w:ascii="宋体" w:hAnsi="宋体" w:cs="宋体"/>
          <w:b/>
          <w:bCs/>
          <w:kern w:val="0"/>
          <w:sz w:val="30"/>
          <w:szCs w:val="30"/>
        </w:rPr>
      </w:pPr>
      <w:r>
        <w:rPr>
          <w:rFonts w:ascii="宋体" w:hAnsi="宋体" w:cs="宋体" w:hint="eastAsia"/>
          <w:b/>
          <w:bCs/>
          <w:kern w:val="0"/>
          <w:sz w:val="30"/>
          <w:szCs w:val="30"/>
        </w:rPr>
        <w:t>图2  2</w:t>
      </w:r>
      <w:r>
        <w:rPr>
          <w:rFonts w:ascii="宋体" w:hAnsi="宋体" w:cs="宋体"/>
          <w:b/>
          <w:bCs/>
          <w:kern w:val="0"/>
          <w:sz w:val="30"/>
          <w:szCs w:val="30"/>
        </w:rPr>
        <w:t>01</w:t>
      </w:r>
      <w:r>
        <w:rPr>
          <w:rFonts w:ascii="宋体" w:hAnsi="宋体" w:cs="宋体" w:hint="eastAsia"/>
          <w:b/>
          <w:bCs/>
          <w:kern w:val="0"/>
          <w:sz w:val="30"/>
          <w:szCs w:val="30"/>
        </w:rPr>
        <w:t>3—</w:t>
      </w:r>
      <w:r>
        <w:rPr>
          <w:rFonts w:ascii="宋体" w:hAnsi="宋体" w:cs="宋体"/>
          <w:b/>
          <w:bCs/>
          <w:kern w:val="0"/>
          <w:sz w:val="30"/>
          <w:szCs w:val="30"/>
        </w:rPr>
        <w:t>201</w:t>
      </w:r>
      <w:r>
        <w:rPr>
          <w:rFonts w:ascii="宋体" w:hAnsi="宋体" w:cs="宋体" w:hint="eastAsia"/>
          <w:b/>
          <w:bCs/>
          <w:kern w:val="0"/>
          <w:sz w:val="30"/>
          <w:szCs w:val="30"/>
        </w:rPr>
        <w:t>7年住房公积金提取金额及提取率</w:t>
      </w:r>
    </w:p>
    <w:p w:rsidR="00067B91" w:rsidRDefault="00067B91" w:rsidP="00067B91">
      <w:r>
        <w:rPr>
          <w:sz w:val="30"/>
        </w:rPr>
        <w:pict>
          <v:group id="组合 14" o:spid="_x0000_s2053" style="position:absolute;left:0;text-align:left;margin-left:.7pt;margin-top:4.45pt;width:399.05pt;height:24pt;z-index:251661312" coordorigin="5911,105615" coordsize="7981,480">
            <v:shape id="文本框 12" o:spid="_x0000_s2054" type="#_x0000_t202" style="position:absolute;left:5911;top:105645;width:826;height:450" filled="f" stroked="f">
              <v:fill o:detectmouseclick="t"/>
              <v:textbox>
                <w:txbxContent>
                  <w:p w:rsidR="00067B91" w:rsidRDefault="00067B91" w:rsidP="00067B91">
                    <w:pPr>
                      <w:adjustRightInd w:val="0"/>
                      <w:snapToGrid w:val="0"/>
                      <w:spacing w:line="360" w:lineRule="auto"/>
                      <w:rPr>
                        <w:rFonts w:ascii="宋体" w:hAnsi="宋体" w:cs="宋体" w:hint="eastAsia"/>
                        <w:kern w:val="0"/>
                        <w:sz w:val="24"/>
                        <w:szCs w:val="24"/>
                      </w:rPr>
                    </w:pPr>
                    <w:r>
                      <w:rPr>
                        <w:rFonts w:ascii="宋体" w:hAnsi="宋体" w:cs="宋体" w:hint="eastAsia"/>
                        <w:kern w:val="0"/>
                        <w:sz w:val="24"/>
                        <w:szCs w:val="24"/>
                      </w:rPr>
                      <w:t>亿元</w:t>
                    </w:r>
                  </w:p>
                </w:txbxContent>
              </v:textbox>
            </v:shape>
            <v:shape id="文本框 13" o:spid="_x0000_s2055" type="#_x0000_t202" style="position:absolute;left:13546;top:105615;width:346;height:450" filled="f" stroked="f">
              <v:fill o:detectmouseclick="t"/>
              <v:textbox>
                <w:txbxContent>
                  <w:p w:rsidR="00067B91" w:rsidRDefault="00067B91" w:rsidP="00067B91">
                    <w:pPr>
                      <w:adjustRightInd w:val="0"/>
                      <w:snapToGrid w:val="0"/>
                      <w:spacing w:line="360" w:lineRule="auto"/>
                      <w:rPr>
                        <w:rFonts w:ascii="宋体" w:hAnsi="宋体" w:cs="宋体" w:hint="eastAsia"/>
                        <w:kern w:val="0"/>
                        <w:sz w:val="24"/>
                        <w:szCs w:val="24"/>
                      </w:rPr>
                    </w:pPr>
                    <w:r>
                      <w:rPr>
                        <w:rFonts w:ascii="宋体" w:hAnsi="宋体" w:cs="宋体" w:hint="eastAsia"/>
                        <w:kern w:val="0"/>
                        <w:sz w:val="24"/>
                        <w:szCs w:val="24"/>
                      </w:rPr>
                      <w:t>%</w:t>
                    </w:r>
                  </w:p>
                </w:txbxContent>
              </v:textbox>
            </v:shape>
          </v:group>
        </w:pict>
      </w:r>
    </w:p>
    <w:p w:rsidR="00067B91" w:rsidRDefault="00067B91" w:rsidP="00067B91">
      <w:r>
        <w:rPr>
          <w:noProof/>
        </w:rPr>
        <w:drawing>
          <wp:inline distT="0" distB="0" distL="0" distR="0">
            <wp:extent cx="5153025" cy="27908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67B91" w:rsidRDefault="00067B91" w:rsidP="00067B91">
      <w:pPr>
        <w:spacing w:beforeLines="100"/>
        <w:rPr>
          <w:rFonts w:ascii="仿宋" w:eastAsia="仿宋" w:hAnsi="仿宋" w:cs="仿宋_GB2312" w:hint="eastAsia"/>
          <w:kern w:val="0"/>
          <w:sz w:val="32"/>
          <w:szCs w:val="32"/>
        </w:rPr>
      </w:pPr>
      <w:r>
        <w:rPr>
          <w:rFonts w:ascii="仿宋" w:eastAsia="仿宋" w:hAnsi="仿宋" w:cs="仿宋_GB2312" w:hint="eastAsia"/>
          <w:b/>
          <w:bCs/>
          <w:kern w:val="0"/>
          <w:sz w:val="32"/>
          <w:szCs w:val="32"/>
        </w:rPr>
        <w:t xml:space="preserve">   </w:t>
      </w:r>
      <w:r>
        <w:rPr>
          <w:rFonts w:ascii="仿宋_GB2312" w:eastAsia="仿宋_GB2312" w:hAnsi="仿宋_GB2312" w:cs="仿宋_GB2312" w:hint="eastAsia"/>
          <w:b/>
          <w:bCs/>
          <w:kern w:val="0"/>
          <w:sz w:val="32"/>
          <w:szCs w:val="32"/>
        </w:rPr>
        <w:t>（三）贷款。</w:t>
      </w:r>
    </w:p>
    <w:p w:rsidR="00067B91" w:rsidRDefault="00067B91" w:rsidP="00067B91">
      <w:pPr>
        <w:adjustRightInd w:val="0"/>
        <w:spacing w:line="360" w:lineRule="auto"/>
        <w:ind w:firstLineChars="196" w:firstLine="630"/>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lastRenderedPageBreak/>
        <w:t>1.个人住房贷款。</w:t>
      </w:r>
    </w:p>
    <w:p w:rsidR="00067B91" w:rsidRDefault="00067B91" w:rsidP="00067B91">
      <w:pPr>
        <w:adjustRightInd w:val="0"/>
        <w:spacing w:line="360"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2017年，发放住房公积金个人住房贷款</w:t>
      </w:r>
      <w:r>
        <w:rPr>
          <w:rFonts w:ascii="仿宋_GB2312" w:eastAsia="仿宋_GB2312" w:hAnsi="仿宋_GB2312" w:cs="仿宋_GB2312"/>
          <w:color w:val="000000"/>
          <w:kern w:val="0"/>
          <w:sz w:val="32"/>
          <w:szCs w:val="32"/>
        </w:rPr>
        <w:t>25</w:t>
      </w:r>
      <w:r>
        <w:rPr>
          <w:rFonts w:ascii="仿宋_GB2312" w:eastAsia="仿宋_GB2312" w:hAnsi="仿宋_GB2312" w:cs="仿宋_GB2312" w:hint="eastAsia"/>
          <w:color w:val="000000"/>
          <w:kern w:val="0"/>
          <w:sz w:val="32"/>
          <w:szCs w:val="32"/>
        </w:rPr>
        <w:t>4.7</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 xml:space="preserve">万笔、   </w:t>
      </w:r>
      <w:r>
        <w:rPr>
          <w:rFonts w:ascii="仿宋_GB2312" w:eastAsia="仿宋_GB2312" w:hAnsi="仿宋_GB2312" w:cs="仿宋_GB2312"/>
          <w:color w:val="000000"/>
          <w:kern w:val="0"/>
          <w:sz w:val="32"/>
          <w:szCs w:val="32"/>
        </w:rPr>
        <w:t>953</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85</w:t>
      </w:r>
      <w:r>
        <w:rPr>
          <w:rFonts w:ascii="仿宋_GB2312" w:eastAsia="仿宋_GB2312" w:hAnsi="仿宋_GB2312" w:cs="仿宋_GB2312" w:hint="eastAsia"/>
          <w:color w:val="000000"/>
          <w:kern w:val="0"/>
          <w:sz w:val="32"/>
          <w:szCs w:val="32"/>
        </w:rPr>
        <w:t>亿元，分别比上年降低22.2</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%和24.93%；回收个人住房贷款</w:t>
      </w:r>
      <w:r>
        <w:rPr>
          <w:rFonts w:ascii="仿宋_GB2312" w:eastAsia="仿宋_GB2312" w:hAnsi="仿宋_GB2312" w:cs="仿宋_GB2312"/>
          <w:color w:val="000000"/>
          <w:kern w:val="0"/>
          <w:sz w:val="32"/>
          <w:szCs w:val="32"/>
        </w:rPr>
        <w:t>5022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86</w:t>
      </w:r>
      <w:r>
        <w:rPr>
          <w:rFonts w:ascii="仿宋_GB2312" w:eastAsia="仿宋_GB2312" w:hAnsi="仿宋_GB2312" w:cs="仿宋_GB2312" w:hint="eastAsia"/>
          <w:color w:val="000000"/>
          <w:kern w:val="0"/>
          <w:sz w:val="32"/>
          <w:szCs w:val="32"/>
        </w:rPr>
        <w:t>亿元，比上年降低0.2</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w:t>
      </w:r>
    </w:p>
    <w:p w:rsidR="00067B91" w:rsidRDefault="00067B91" w:rsidP="00067B91">
      <w:pPr>
        <w:adjustRightInd w:val="0"/>
        <w:spacing w:line="360"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2017年末，累计发放个人住房贷款</w:t>
      </w:r>
      <w:r>
        <w:rPr>
          <w:rFonts w:ascii="仿宋_GB2312" w:eastAsia="仿宋_GB2312" w:hAnsi="仿宋_GB2312" w:cs="仿宋_GB2312"/>
          <w:color w:val="000000"/>
          <w:kern w:val="0"/>
          <w:sz w:val="32"/>
          <w:szCs w:val="32"/>
        </w:rPr>
        <w:t>3082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57</w:t>
      </w:r>
      <w:r>
        <w:rPr>
          <w:rFonts w:ascii="仿宋_GB2312" w:eastAsia="仿宋_GB2312" w:hAnsi="仿宋_GB2312" w:cs="仿宋_GB2312" w:hint="eastAsia"/>
          <w:color w:val="000000"/>
          <w:kern w:val="0"/>
          <w:sz w:val="32"/>
          <w:szCs w:val="32"/>
        </w:rPr>
        <w:t>万笔、</w:t>
      </w:r>
      <w:r>
        <w:rPr>
          <w:rFonts w:ascii="仿宋_GB2312" w:eastAsia="仿宋_GB2312" w:hAnsi="仿宋_GB2312" w:cs="仿宋_GB2312"/>
          <w:color w:val="000000"/>
          <w:kern w:val="0"/>
          <w:sz w:val="32"/>
          <w:szCs w:val="32"/>
        </w:rPr>
        <w:t>75602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83</w:t>
      </w:r>
      <w:r>
        <w:rPr>
          <w:rFonts w:ascii="仿宋_GB2312" w:eastAsia="仿宋_GB2312" w:hAnsi="仿宋_GB2312" w:cs="仿宋_GB2312" w:hint="eastAsia"/>
          <w:color w:val="000000"/>
          <w:kern w:val="0"/>
          <w:sz w:val="32"/>
          <w:szCs w:val="32"/>
        </w:rPr>
        <w:t>亿元，分别比上年末增长9.0</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%和14.44%；个人住房贷款余额</w:t>
      </w:r>
      <w:r>
        <w:rPr>
          <w:rFonts w:ascii="仿宋_GB2312" w:eastAsia="仿宋_GB2312" w:hAnsi="仿宋_GB2312" w:cs="仿宋_GB2312"/>
          <w:color w:val="000000"/>
          <w:kern w:val="0"/>
          <w:sz w:val="32"/>
          <w:szCs w:val="32"/>
        </w:rPr>
        <w:t>45049.78</w:t>
      </w:r>
      <w:r>
        <w:rPr>
          <w:rFonts w:ascii="仿宋_GB2312" w:eastAsia="仿宋_GB2312" w:hAnsi="仿宋_GB2312" w:cs="仿宋_GB2312" w:hint="eastAsia"/>
          <w:color w:val="000000"/>
          <w:kern w:val="0"/>
          <w:sz w:val="32"/>
          <w:szCs w:val="32"/>
        </w:rPr>
        <w:t>亿元，比上年末增长11.14%；个人住房贷款率</w:t>
      </w:r>
      <w:r>
        <w:rPr>
          <w:rFonts w:ascii="仿宋_GB2312" w:eastAsia="仿宋_GB2312" w:hAnsi="仿宋_GB2312" w:cs="仿宋_GB2312" w:hint="eastAsia"/>
          <w:color w:val="000000"/>
          <w:kern w:val="0"/>
          <w:sz w:val="32"/>
          <w:szCs w:val="32"/>
          <w:vertAlign w:val="superscript"/>
        </w:rPr>
        <w:t>[3]</w:t>
      </w:r>
      <w:r>
        <w:rPr>
          <w:rFonts w:ascii="仿宋_GB2312" w:eastAsia="仿宋_GB2312" w:hAnsi="仿宋_GB2312" w:cs="仿宋_GB2312" w:hint="eastAsia"/>
          <w:color w:val="000000"/>
          <w:kern w:val="0"/>
          <w:sz w:val="32"/>
          <w:szCs w:val="32"/>
        </w:rPr>
        <w:t>87.2</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%，比上年末减少1.5</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个百分点。</w:t>
      </w:r>
    </w:p>
    <w:p w:rsidR="00067B91" w:rsidRDefault="00067B91" w:rsidP="00067B91">
      <w:pPr>
        <w:keepNext/>
        <w:adjustRightInd w:val="0"/>
        <w:snapToGrid w:val="0"/>
        <w:spacing w:beforeLines="100" w:line="360" w:lineRule="auto"/>
        <w:jc w:val="center"/>
        <w:rPr>
          <w:rFonts w:ascii="仿宋_GB2312" w:eastAsia="仿宋_GB2312" w:hAnsi="仿宋_GB2312" w:cs="仿宋_GB2312" w:hint="eastAsia"/>
          <w:color w:val="000000"/>
          <w:kern w:val="0"/>
          <w:sz w:val="32"/>
          <w:szCs w:val="32"/>
        </w:rPr>
      </w:pPr>
      <w:r>
        <w:rPr>
          <w:rFonts w:ascii="宋体" w:hAnsi="宋体" w:cs="宋体" w:hint="eastAsia"/>
          <w:b/>
          <w:bCs/>
          <w:kern w:val="0"/>
          <w:sz w:val="30"/>
          <w:szCs w:val="30"/>
        </w:rPr>
        <w:t>表5  2017年各地区住房公积金个人住房贷款情况</w:t>
      </w:r>
    </w:p>
    <w:tbl>
      <w:tblPr>
        <w:tblW w:w="0" w:type="auto"/>
        <w:jc w:val="center"/>
        <w:tblLayout w:type="fixed"/>
        <w:tblCellMar>
          <w:left w:w="0" w:type="dxa"/>
          <w:right w:w="0" w:type="dxa"/>
        </w:tblCellMar>
        <w:tblLook w:val="0000"/>
      </w:tblPr>
      <w:tblGrid>
        <w:gridCol w:w="1101"/>
        <w:gridCol w:w="992"/>
        <w:gridCol w:w="1283"/>
        <w:gridCol w:w="1320"/>
        <w:gridCol w:w="1290"/>
        <w:gridCol w:w="1275"/>
        <w:gridCol w:w="1352"/>
      </w:tblGrid>
      <w:tr w:rsidR="00067B91" w:rsidTr="00CC77AB">
        <w:trPr>
          <w:cantSplit/>
          <w:trHeight w:hRule="exact" w:val="790"/>
          <w:jc w:val="center"/>
        </w:trPr>
        <w:tc>
          <w:tcPr>
            <w:tcW w:w="1101" w:type="dxa"/>
            <w:tcBorders>
              <w:top w:val="single" w:sz="8" w:space="0" w:color="auto"/>
              <w:left w:val="nil"/>
              <w:right w:val="single" w:sz="8" w:space="0" w:color="auto"/>
            </w:tcBorders>
            <w:vAlign w:val="center"/>
          </w:tcPr>
          <w:p w:rsidR="00067B91" w:rsidRDefault="00067B91" w:rsidP="00CC77AB">
            <w:pPr>
              <w:keepNext/>
              <w:adjustRightInd w:val="0"/>
              <w:snapToGrid w:val="0"/>
              <w:spacing w:beforeLines="50" w:line="360" w:lineRule="auto"/>
              <w:jc w:val="center"/>
              <w:rPr>
                <w:rFonts w:ascii="宋体" w:hAnsi="宋体" w:cs="宋体"/>
                <w:b/>
                <w:bCs/>
                <w:kern w:val="0"/>
                <w:szCs w:val="21"/>
              </w:rPr>
            </w:pPr>
            <w:r>
              <w:rPr>
                <w:rFonts w:ascii="宋体" w:hAnsi="宋体" w:cs="宋体" w:hint="eastAsia"/>
                <w:b/>
                <w:bCs/>
                <w:kern w:val="0"/>
                <w:szCs w:val="21"/>
              </w:rPr>
              <w:t>地区</w:t>
            </w:r>
          </w:p>
        </w:tc>
        <w:tc>
          <w:tcPr>
            <w:tcW w:w="992" w:type="dxa"/>
            <w:tcBorders>
              <w:top w:val="single" w:sz="8" w:space="0" w:color="auto"/>
              <w:left w:val="single" w:sz="8" w:space="0" w:color="auto"/>
              <w:right w:val="single" w:sz="8" w:space="0" w:color="auto"/>
            </w:tcBorders>
            <w:vAlign w:val="center"/>
          </w:tcPr>
          <w:p w:rsidR="00067B91" w:rsidRDefault="00067B91" w:rsidP="00CC77AB">
            <w:pPr>
              <w:keepNext/>
              <w:adjustRightInd w:val="0"/>
              <w:snapToGrid w:val="0"/>
              <w:spacing w:beforeLines="50"/>
              <w:jc w:val="center"/>
              <w:rPr>
                <w:rFonts w:ascii="宋体" w:hAnsi="宋体" w:cs="宋体"/>
                <w:b/>
                <w:bCs/>
                <w:color w:val="000000"/>
                <w:kern w:val="0"/>
                <w:szCs w:val="21"/>
              </w:rPr>
            </w:pPr>
            <w:r>
              <w:rPr>
                <w:rFonts w:ascii="宋体" w:hAnsi="宋体" w:cs="宋体" w:hint="eastAsia"/>
                <w:b/>
                <w:bCs/>
                <w:color w:val="000000"/>
                <w:kern w:val="0"/>
                <w:szCs w:val="21"/>
              </w:rPr>
              <w:t>放贷笔数（万笔）</w:t>
            </w:r>
          </w:p>
        </w:tc>
        <w:tc>
          <w:tcPr>
            <w:tcW w:w="1283" w:type="dxa"/>
            <w:tcBorders>
              <w:top w:val="single" w:sz="8" w:space="0" w:color="auto"/>
              <w:left w:val="single" w:sz="8" w:space="0" w:color="auto"/>
              <w:right w:val="single" w:sz="8" w:space="0" w:color="auto"/>
            </w:tcBorders>
            <w:vAlign w:val="center"/>
          </w:tcPr>
          <w:p w:rsidR="00067B91" w:rsidRDefault="00067B91" w:rsidP="00CC77AB">
            <w:pPr>
              <w:keepNext/>
              <w:adjustRightInd w:val="0"/>
              <w:snapToGrid w:val="0"/>
              <w:spacing w:beforeLines="50"/>
              <w:jc w:val="center"/>
              <w:rPr>
                <w:rFonts w:ascii="宋体" w:hAnsi="宋体" w:cs="宋体" w:hint="eastAsia"/>
                <w:b/>
                <w:bCs/>
                <w:kern w:val="0"/>
                <w:szCs w:val="21"/>
              </w:rPr>
            </w:pPr>
            <w:r>
              <w:rPr>
                <w:rFonts w:ascii="宋体" w:hAnsi="宋体" w:cs="宋体" w:hint="eastAsia"/>
                <w:b/>
                <w:bCs/>
                <w:color w:val="000000"/>
                <w:kern w:val="0"/>
                <w:szCs w:val="21"/>
              </w:rPr>
              <w:t>贷款发放额</w:t>
            </w:r>
            <w:r>
              <w:rPr>
                <w:rFonts w:ascii="宋体" w:hAnsi="宋体" w:cs="宋体" w:hint="eastAsia"/>
                <w:b/>
                <w:bCs/>
                <w:kern w:val="0"/>
                <w:szCs w:val="21"/>
              </w:rPr>
              <w:t>（亿元）</w:t>
            </w:r>
          </w:p>
        </w:tc>
        <w:tc>
          <w:tcPr>
            <w:tcW w:w="1320"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067B91" w:rsidRDefault="00067B91" w:rsidP="00CC77AB">
            <w:pPr>
              <w:keepNext/>
              <w:adjustRightInd w:val="0"/>
              <w:snapToGrid w:val="0"/>
              <w:spacing w:beforeLines="50"/>
              <w:jc w:val="center"/>
              <w:rPr>
                <w:rFonts w:ascii="宋体" w:hAnsi="宋体" w:cs="宋体" w:hint="eastAsia"/>
                <w:b/>
                <w:bCs/>
                <w:color w:val="000000"/>
                <w:kern w:val="0"/>
                <w:szCs w:val="21"/>
              </w:rPr>
            </w:pPr>
            <w:r>
              <w:rPr>
                <w:rFonts w:ascii="宋体" w:hAnsi="宋体" w:cs="宋体" w:hint="eastAsia"/>
                <w:b/>
                <w:bCs/>
                <w:color w:val="000000"/>
                <w:kern w:val="0"/>
                <w:szCs w:val="21"/>
              </w:rPr>
              <w:t>累计</w:t>
            </w:r>
            <w:bookmarkStart w:id="0" w:name="OLE_LINK3"/>
            <w:r>
              <w:rPr>
                <w:rFonts w:ascii="宋体" w:hAnsi="宋体" w:cs="宋体" w:hint="eastAsia"/>
                <w:b/>
                <w:bCs/>
                <w:color w:val="000000"/>
                <w:kern w:val="0"/>
                <w:szCs w:val="21"/>
              </w:rPr>
              <w:t>放贷笔数（万笔）</w:t>
            </w:r>
            <w:bookmarkEnd w:id="0"/>
          </w:p>
        </w:tc>
        <w:tc>
          <w:tcPr>
            <w:tcW w:w="1290"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067B91" w:rsidRDefault="00067B91" w:rsidP="00CC77AB">
            <w:pPr>
              <w:keepNext/>
              <w:adjustRightInd w:val="0"/>
              <w:snapToGrid w:val="0"/>
              <w:spacing w:beforeLines="50"/>
              <w:jc w:val="center"/>
              <w:rPr>
                <w:rFonts w:ascii="宋体" w:hAnsi="宋体" w:cs="宋体" w:hint="eastAsia"/>
                <w:b/>
                <w:bCs/>
                <w:color w:val="000000"/>
                <w:kern w:val="0"/>
                <w:szCs w:val="21"/>
              </w:rPr>
            </w:pPr>
            <w:r>
              <w:rPr>
                <w:rFonts w:ascii="宋体" w:hAnsi="宋体" w:cs="宋体" w:hint="eastAsia"/>
                <w:b/>
                <w:bCs/>
                <w:color w:val="000000"/>
                <w:kern w:val="0"/>
                <w:szCs w:val="21"/>
              </w:rPr>
              <w:t>贷款总额（亿元）</w:t>
            </w:r>
          </w:p>
        </w:tc>
        <w:tc>
          <w:tcPr>
            <w:tcW w:w="1275"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067B91" w:rsidRDefault="00067B91" w:rsidP="00CC77AB">
            <w:pPr>
              <w:keepNext/>
              <w:adjustRightInd w:val="0"/>
              <w:snapToGrid w:val="0"/>
              <w:spacing w:beforeLines="50"/>
              <w:jc w:val="center"/>
              <w:rPr>
                <w:rFonts w:ascii="宋体" w:hAnsi="宋体" w:cs="宋体" w:hint="eastAsia"/>
                <w:b/>
                <w:bCs/>
                <w:color w:val="000000"/>
                <w:kern w:val="0"/>
                <w:szCs w:val="21"/>
              </w:rPr>
            </w:pPr>
            <w:r>
              <w:rPr>
                <w:rFonts w:ascii="宋体" w:hAnsi="宋体" w:cs="宋体" w:hint="eastAsia"/>
                <w:b/>
                <w:bCs/>
                <w:color w:val="000000"/>
                <w:kern w:val="0"/>
                <w:szCs w:val="21"/>
              </w:rPr>
              <w:t>贷款余额（亿元）</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keepNext/>
              <w:adjustRightInd w:val="0"/>
              <w:snapToGrid w:val="0"/>
              <w:spacing w:beforeLines="50"/>
              <w:jc w:val="center"/>
              <w:rPr>
                <w:rFonts w:ascii="宋体" w:hAnsi="宋体" w:cs="宋体"/>
                <w:b/>
                <w:bCs/>
                <w:color w:val="000000"/>
                <w:kern w:val="0"/>
                <w:szCs w:val="21"/>
              </w:rPr>
            </w:pPr>
            <w:r>
              <w:rPr>
                <w:rFonts w:ascii="宋体" w:hAnsi="宋体" w:cs="宋体" w:hint="eastAsia"/>
                <w:b/>
                <w:bCs/>
                <w:color w:val="000000"/>
                <w:kern w:val="0"/>
                <w:szCs w:val="21"/>
              </w:rPr>
              <w:t>个人住房贷款率（%）</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b/>
                <w:bCs/>
                <w:kern w:val="0"/>
                <w:szCs w:val="21"/>
              </w:rPr>
            </w:pPr>
            <w:r>
              <w:rPr>
                <w:rFonts w:ascii="宋体" w:hAnsi="宋体" w:cs="宋体" w:hint="eastAsia"/>
                <w:b/>
                <w:bCs/>
                <w:kern w:val="0"/>
                <w:szCs w:val="21"/>
              </w:rPr>
              <w:t>全国</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254.7</w:t>
            </w:r>
            <w:r>
              <w:rPr>
                <w:rFonts w:ascii="仿宋" w:eastAsia="仿宋" w:hAnsi="仿宋" w:cs="宋体"/>
                <w:b/>
                <w:bCs/>
                <w:color w:val="000000"/>
                <w:kern w:val="0"/>
                <w:sz w:val="22"/>
              </w:rPr>
              <w:t>6</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9534.</w:t>
            </w:r>
            <w:r>
              <w:rPr>
                <w:rFonts w:ascii="仿宋" w:eastAsia="仿宋" w:hAnsi="仿宋" w:cs="宋体"/>
                <w:b/>
                <w:bCs/>
                <w:color w:val="000000"/>
                <w:kern w:val="0"/>
                <w:sz w:val="22"/>
              </w:rPr>
              <w:t>85</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3082.</w:t>
            </w:r>
            <w:r>
              <w:rPr>
                <w:rFonts w:ascii="仿宋" w:eastAsia="仿宋" w:hAnsi="仿宋" w:cs="宋体"/>
                <w:b/>
                <w:bCs/>
                <w:color w:val="000000"/>
                <w:kern w:val="0"/>
                <w:sz w:val="22"/>
              </w:rPr>
              <w:t>57</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75602.</w:t>
            </w:r>
            <w:r>
              <w:rPr>
                <w:rFonts w:ascii="仿宋" w:eastAsia="仿宋" w:hAnsi="仿宋" w:cs="宋体"/>
                <w:b/>
                <w:bCs/>
                <w:color w:val="000000"/>
                <w:kern w:val="0"/>
                <w:sz w:val="22"/>
              </w:rPr>
              <w:t>83</w:t>
            </w:r>
            <w:r>
              <w:rPr>
                <w:rFonts w:ascii="仿宋" w:eastAsia="仿宋" w:hAnsi="仿宋" w:cs="宋体" w:hint="eastAsia"/>
                <w:b/>
                <w:bCs/>
                <w:color w:val="000000"/>
                <w:kern w:val="0"/>
                <w:sz w:val="22"/>
              </w:rPr>
              <w:t xml:space="preserve">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4504</w:t>
            </w:r>
            <w:r>
              <w:rPr>
                <w:rFonts w:ascii="仿宋" w:eastAsia="仿宋" w:hAnsi="仿宋" w:cs="宋体"/>
                <w:b/>
                <w:bCs/>
                <w:color w:val="000000"/>
                <w:kern w:val="0"/>
                <w:sz w:val="22"/>
              </w:rPr>
              <w:t>9.78</w:t>
            </w:r>
            <w:r>
              <w:rPr>
                <w:rFonts w:ascii="仿宋" w:eastAsia="仿宋" w:hAnsi="仿宋" w:cs="宋体" w:hint="eastAsia"/>
                <w:b/>
                <w:bCs/>
                <w:color w:val="000000"/>
                <w:kern w:val="0"/>
                <w:sz w:val="22"/>
              </w:rPr>
              <w:t xml:space="preserve">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87.2</w:t>
            </w:r>
            <w:r>
              <w:rPr>
                <w:rFonts w:ascii="仿宋" w:eastAsia="仿宋" w:hAnsi="仿宋" w:cs="宋体"/>
                <w:b/>
                <w:bCs/>
                <w:color w:val="000000"/>
                <w:kern w:val="0"/>
                <w:sz w:val="22"/>
              </w:rPr>
              <w:t>7</w:t>
            </w:r>
            <w:r>
              <w:rPr>
                <w:rFonts w:ascii="仿宋" w:eastAsia="仿宋" w:hAnsi="仿宋" w:cs="宋体" w:hint="eastAsia"/>
                <w:b/>
                <w:bCs/>
                <w:color w:val="000000"/>
                <w:kern w:val="0"/>
                <w:sz w:val="22"/>
              </w:rPr>
              <w:t xml:space="preserve">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北京</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5.78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535.78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102.77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5527.32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3500.20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94.11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天津</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2.80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120.09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94.67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2844.04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1372.43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111.33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河北</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6.68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222.31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92.60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2065.30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1338.12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75.26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山西</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5.32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179.07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48.73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975.77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656.83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72.09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内蒙古</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7.96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265.84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96.33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1677.39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891.47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76.13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辽宁</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12.4</w:t>
            </w:r>
            <w:r>
              <w:rPr>
                <w:rFonts w:ascii="仿宋" w:eastAsia="仿宋" w:hAnsi="仿宋" w:cs="宋体"/>
                <w:color w:val="000000"/>
                <w:kern w:val="0"/>
                <w:sz w:val="22"/>
              </w:rPr>
              <w:t>2</w:t>
            </w:r>
            <w:r>
              <w:rPr>
                <w:rFonts w:ascii="仿宋" w:eastAsia="仿宋" w:hAnsi="仿宋" w:cs="宋体" w:hint="eastAsia"/>
                <w:color w:val="000000"/>
                <w:kern w:val="0"/>
                <w:sz w:val="22"/>
              </w:rPr>
              <w:t xml:space="preserve">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419.71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156.65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3382.51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1955.38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86.40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吉林</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5.90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198.82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62.</w:t>
            </w:r>
            <w:r>
              <w:rPr>
                <w:rFonts w:ascii="仿宋" w:eastAsia="仿宋" w:hAnsi="仿宋" w:cs="宋体"/>
                <w:color w:val="000000"/>
                <w:kern w:val="0"/>
                <w:sz w:val="22"/>
              </w:rPr>
              <w:t>80</w:t>
            </w:r>
            <w:r>
              <w:rPr>
                <w:rFonts w:ascii="仿宋" w:eastAsia="仿宋" w:hAnsi="仿宋" w:cs="宋体" w:hint="eastAsia"/>
                <w:color w:val="000000"/>
                <w:kern w:val="0"/>
                <w:sz w:val="22"/>
              </w:rPr>
              <w:t xml:space="preserve">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1323.35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847.34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83.25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黑龙江</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7.47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260.13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79.82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1630.10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889.28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69.29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上海</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9.28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586.28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243.09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7059.1</w:t>
            </w:r>
            <w:r>
              <w:rPr>
                <w:rFonts w:ascii="仿宋" w:eastAsia="仿宋" w:hAnsi="仿宋" w:cs="宋体"/>
                <w:color w:val="000000"/>
                <w:kern w:val="0"/>
                <w:sz w:val="22"/>
              </w:rPr>
              <w:t>0</w:t>
            </w:r>
            <w:r>
              <w:rPr>
                <w:rFonts w:ascii="仿宋" w:eastAsia="仿宋" w:hAnsi="仿宋" w:cs="宋体" w:hint="eastAsia"/>
                <w:color w:val="000000"/>
                <w:kern w:val="0"/>
                <w:sz w:val="22"/>
              </w:rPr>
              <w:t xml:space="preserve">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3531.01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98.68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江苏</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21.57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747.89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279.45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6954.31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3750.63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97.41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浙江</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13.09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622.90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164.54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5055.91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2902.47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101.24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安徽</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9.77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287.09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116.36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2485.54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1532.12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101.26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福建</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5.78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243.58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90.73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2303.90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1373.58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99.89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江西</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6.17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213.38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67.67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1532.54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1010.98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97.33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山东</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19.09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658.90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183.98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4230.44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2589.11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83.53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lastRenderedPageBreak/>
              <w:t>河南</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10.23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304.01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109.17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2353.71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1543.30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80.90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湖北</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10.82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351.62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115.37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2660.31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1639.33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80.96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湖南</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11.59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377.10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114.62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2211.99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1415.51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87.29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广东</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15.08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661.25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161.82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5291.56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3429.61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73.50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广西</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6.70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224.85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61.68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1280.44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879.24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88.28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海南</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1.90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79.53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15.13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403.29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304.85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89.82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重庆</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w:t>
            </w:r>
            <w:r>
              <w:rPr>
                <w:rFonts w:ascii="仿宋" w:eastAsia="仿宋" w:hAnsi="仿宋" w:cs="宋体"/>
                <w:color w:val="000000"/>
                <w:kern w:val="0"/>
                <w:sz w:val="22"/>
              </w:rPr>
              <w:t>82</w:t>
            </w:r>
            <w:r>
              <w:rPr>
                <w:rFonts w:ascii="仿宋" w:eastAsia="仿宋" w:hAnsi="仿宋" w:cs="宋体" w:hint="eastAsia"/>
                <w:color w:val="000000"/>
                <w:kern w:val="0"/>
                <w:sz w:val="22"/>
              </w:rPr>
              <w:t xml:space="preserve">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203.95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48.78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1240.39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871.70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97.60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四川</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14.20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464.62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135.41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3079.93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2071.41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85.51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贵州</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6.42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198.</w:t>
            </w:r>
            <w:r>
              <w:rPr>
                <w:rFonts w:ascii="仿宋" w:eastAsia="仿宋" w:hAnsi="仿宋" w:cs="宋体"/>
                <w:color w:val="000000"/>
                <w:kern w:val="0"/>
                <w:sz w:val="22"/>
              </w:rPr>
              <w:t>87</w:t>
            </w:r>
            <w:r>
              <w:rPr>
                <w:rFonts w:ascii="仿宋" w:eastAsia="仿宋" w:hAnsi="仿宋" w:cs="宋体" w:hint="eastAsia"/>
                <w:color w:val="000000"/>
                <w:kern w:val="0"/>
                <w:sz w:val="22"/>
              </w:rPr>
              <w:t xml:space="preserve">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59.31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1233.34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840.78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97.10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云南</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9.02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328.38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110.82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2010.37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1105.96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85.25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西藏</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1.03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56.96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7.09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226.57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138.52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62.78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陕西</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7.59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240.78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62.8</w:t>
            </w:r>
            <w:r>
              <w:rPr>
                <w:rFonts w:ascii="仿宋" w:eastAsia="仿宋" w:hAnsi="仿宋" w:cs="宋体"/>
                <w:color w:val="000000"/>
                <w:kern w:val="0"/>
                <w:sz w:val="22"/>
              </w:rPr>
              <w:t>4</w:t>
            </w:r>
            <w:r>
              <w:rPr>
                <w:rFonts w:ascii="仿宋" w:eastAsia="仿宋" w:hAnsi="仿宋" w:cs="宋体" w:hint="eastAsia"/>
                <w:color w:val="000000"/>
                <w:kern w:val="0"/>
                <w:sz w:val="22"/>
              </w:rPr>
              <w:t xml:space="preserve">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1280.</w:t>
            </w:r>
            <w:r>
              <w:rPr>
                <w:rFonts w:ascii="仿宋" w:eastAsia="仿宋" w:hAnsi="仿宋" w:cs="宋体"/>
                <w:color w:val="000000"/>
                <w:kern w:val="0"/>
                <w:sz w:val="22"/>
              </w:rPr>
              <w:t>01</w:t>
            </w:r>
            <w:r>
              <w:rPr>
                <w:rFonts w:ascii="仿宋" w:eastAsia="仿宋" w:hAnsi="仿宋" w:cs="宋体" w:hint="eastAsia"/>
                <w:color w:val="000000"/>
                <w:kern w:val="0"/>
                <w:sz w:val="22"/>
              </w:rPr>
              <w:t xml:space="preserve">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87</w:t>
            </w:r>
            <w:r>
              <w:rPr>
                <w:rFonts w:ascii="仿宋" w:eastAsia="仿宋" w:hAnsi="仿宋" w:cs="宋体"/>
                <w:color w:val="000000"/>
                <w:kern w:val="0"/>
                <w:sz w:val="22"/>
              </w:rPr>
              <w:t>2.94</w:t>
            </w:r>
            <w:r>
              <w:rPr>
                <w:rFonts w:ascii="仿宋" w:eastAsia="仿宋" w:hAnsi="仿宋" w:cs="宋体" w:hint="eastAsia"/>
                <w:color w:val="000000"/>
                <w:kern w:val="0"/>
                <w:sz w:val="22"/>
              </w:rPr>
              <w:t xml:space="preserve">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76.</w:t>
            </w:r>
            <w:r>
              <w:rPr>
                <w:rFonts w:ascii="仿宋" w:eastAsia="仿宋" w:hAnsi="仿宋" w:cs="宋体"/>
                <w:color w:val="000000"/>
                <w:kern w:val="0"/>
                <w:sz w:val="22"/>
              </w:rPr>
              <w:t>01</w:t>
            </w:r>
            <w:r>
              <w:rPr>
                <w:rFonts w:ascii="仿宋" w:eastAsia="仿宋" w:hAnsi="仿宋" w:cs="宋体" w:hint="eastAsia"/>
                <w:color w:val="000000"/>
                <w:kern w:val="0"/>
                <w:sz w:val="22"/>
              </w:rPr>
              <w:t xml:space="preserve">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甘肃</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5.64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182.83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w:t>
            </w:r>
            <w:r>
              <w:rPr>
                <w:rFonts w:ascii="仿宋" w:eastAsia="仿宋" w:hAnsi="仿宋" w:cs="宋体"/>
                <w:color w:val="000000"/>
                <w:kern w:val="0"/>
                <w:sz w:val="22"/>
              </w:rPr>
              <w:t>7.08</w:t>
            </w:r>
            <w:r>
              <w:rPr>
                <w:rFonts w:ascii="仿宋" w:eastAsia="仿宋" w:hAnsi="仿宋" w:cs="宋体" w:hint="eastAsia"/>
                <w:color w:val="000000"/>
                <w:kern w:val="0"/>
                <w:sz w:val="22"/>
              </w:rPr>
              <w:t xml:space="preserve">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1088.04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661.53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74.99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青海</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1.92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66.80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23.33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374.93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167.23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57.92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宁夏</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2.01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66.92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24.67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450.67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216.78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81.94 </w:t>
            </w:r>
          </w:p>
        </w:tc>
      </w:tr>
      <w:tr w:rsidR="00067B91" w:rsidTr="00CC77AB">
        <w:trPr>
          <w:trHeigh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新疆</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5.24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152.12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80.61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1298.82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712.33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73.37 </w:t>
            </w:r>
          </w:p>
        </w:tc>
      </w:tr>
      <w:tr w:rsidR="00067B91" w:rsidTr="00CC77AB">
        <w:trPr>
          <w:trHeight w:hRule="exact" w:val="420"/>
          <w:jc w:val="center"/>
        </w:trPr>
        <w:tc>
          <w:tcPr>
            <w:tcW w:w="1101"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kern w:val="0"/>
                <w:szCs w:val="21"/>
              </w:rPr>
            </w:pPr>
            <w:r>
              <w:rPr>
                <w:rFonts w:ascii="宋体" w:hAnsi="宋体" w:cs="宋体" w:hint="eastAsia"/>
                <w:kern w:val="0"/>
                <w:szCs w:val="21"/>
              </w:rPr>
              <w:t>新疆兵团</w:t>
            </w:r>
          </w:p>
        </w:tc>
        <w:tc>
          <w:tcPr>
            <w:tcW w:w="99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0.47 </w:t>
            </w:r>
          </w:p>
        </w:tc>
        <w:tc>
          <w:tcPr>
            <w:tcW w:w="128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12.49 </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4.65 </w:t>
            </w:r>
          </w:p>
        </w:tc>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70.94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37.81 </w:t>
            </w:r>
          </w:p>
        </w:tc>
        <w:tc>
          <w:tcPr>
            <w:tcW w:w="135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67B91" w:rsidRDefault="00067B91" w:rsidP="00CC77A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33.5</w:t>
            </w:r>
            <w:r>
              <w:rPr>
                <w:rFonts w:ascii="仿宋" w:eastAsia="仿宋" w:hAnsi="仿宋" w:cs="宋体"/>
                <w:color w:val="000000"/>
                <w:kern w:val="0"/>
                <w:sz w:val="22"/>
              </w:rPr>
              <w:t>7</w:t>
            </w:r>
            <w:r>
              <w:rPr>
                <w:rFonts w:ascii="仿宋" w:eastAsia="仿宋" w:hAnsi="仿宋" w:cs="宋体" w:hint="eastAsia"/>
                <w:color w:val="000000"/>
                <w:kern w:val="0"/>
                <w:sz w:val="22"/>
              </w:rPr>
              <w:t xml:space="preserve"> </w:t>
            </w:r>
          </w:p>
        </w:tc>
      </w:tr>
    </w:tbl>
    <w:p w:rsidR="00067B91" w:rsidRDefault="00067B91" w:rsidP="00067B91">
      <w:pPr>
        <w:keepNext/>
        <w:adjustRightInd w:val="0"/>
        <w:snapToGrid w:val="0"/>
        <w:spacing w:beforeLines="150" w:line="360" w:lineRule="auto"/>
        <w:jc w:val="center"/>
        <w:rPr>
          <w:rFonts w:ascii="宋体" w:hAnsi="宋体" w:cs="宋体" w:hint="eastAsia"/>
          <w:b/>
          <w:bCs/>
          <w:kern w:val="0"/>
          <w:sz w:val="30"/>
          <w:szCs w:val="30"/>
        </w:rPr>
      </w:pPr>
      <w:r>
        <w:rPr>
          <w:rFonts w:ascii="宋体" w:hAnsi="宋体" w:cs="宋体" w:hint="eastAsia"/>
          <w:b/>
          <w:bCs/>
          <w:kern w:val="0"/>
          <w:sz w:val="30"/>
          <w:szCs w:val="30"/>
        </w:rPr>
        <w:t>表6  2017年各类型住房公积金个人住房贷款情况</w:t>
      </w:r>
    </w:p>
    <w:tbl>
      <w:tblPr>
        <w:tblW w:w="0" w:type="auto"/>
        <w:tblInd w:w="-96" w:type="dxa"/>
        <w:tblLayout w:type="fixed"/>
        <w:tblLook w:val="0000"/>
      </w:tblPr>
      <w:tblGrid>
        <w:gridCol w:w="1275"/>
        <w:gridCol w:w="2212"/>
        <w:gridCol w:w="1440"/>
        <w:gridCol w:w="1245"/>
        <w:gridCol w:w="1455"/>
        <w:gridCol w:w="1110"/>
      </w:tblGrid>
      <w:tr w:rsidR="00067B91" w:rsidTr="00CC77AB">
        <w:trPr>
          <w:cantSplit/>
          <w:trHeight w:val="709"/>
        </w:trPr>
        <w:tc>
          <w:tcPr>
            <w:tcW w:w="3487" w:type="dxa"/>
            <w:gridSpan w:val="2"/>
            <w:tcBorders>
              <w:top w:val="single" w:sz="8" w:space="0" w:color="auto"/>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类别</w:t>
            </w:r>
          </w:p>
        </w:tc>
        <w:tc>
          <w:tcPr>
            <w:tcW w:w="1440" w:type="dxa"/>
            <w:tcBorders>
              <w:top w:val="single" w:sz="8"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发放笔数</w:t>
            </w:r>
          </w:p>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（万笔）</w:t>
            </w:r>
          </w:p>
        </w:tc>
        <w:tc>
          <w:tcPr>
            <w:tcW w:w="1245" w:type="dxa"/>
            <w:tcBorders>
              <w:top w:val="single" w:sz="8" w:space="0" w:color="auto"/>
              <w:left w:val="single" w:sz="8" w:space="0" w:color="auto"/>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占比（%）</w:t>
            </w:r>
          </w:p>
        </w:tc>
        <w:tc>
          <w:tcPr>
            <w:tcW w:w="1455" w:type="dxa"/>
            <w:tcBorders>
              <w:top w:val="single" w:sz="8" w:space="0" w:color="auto"/>
              <w:left w:val="single" w:sz="8" w:space="0" w:color="auto"/>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金额（亿元）</w:t>
            </w:r>
          </w:p>
        </w:tc>
        <w:tc>
          <w:tcPr>
            <w:tcW w:w="1110" w:type="dxa"/>
            <w:tcBorders>
              <w:top w:val="single" w:sz="8" w:space="0" w:color="auto"/>
              <w:left w:val="single" w:sz="8" w:space="0" w:color="auto"/>
              <w:bottom w:val="single" w:sz="8" w:space="0" w:color="000000"/>
              <w:right w:val="nil"/>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占比（%）</w:t>
            </w:r>
          </w:p>
        </w:tc>
      </w:tr>
      <w:tr w:rsidR="00067B91" w:rsidTr="00CC77AB">
        <w:trPr>
          <w:cantSplit/>
          <w:trHeight w:val="510"/>
        </w:trPr>
        <w:tc>
          <w:tcPr>
            <w:tcW w:w="1275" w:type="dxa"/>
            <w:vMerge w:val="restart"/>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房屋类型</w:t>
            </w: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新房</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179.72</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70.54</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6411.67</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67.24</w:t>
            </w:r>
          </w:p>
        </w:tc>
      </w:tr>
      <w:tr w:rsidR="00067B91" w:rsidTr="00CC77AB">
        <w:trPr>
          <w:cantSplit/>
          <w:trHeight w:val="57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存量商品住房</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70.55</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27.69</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color w:val="000000"/>
                <w:kern w:val="0"/>
                <w:szCs w:val="21"/>
              </w:rPr>
              <w:t>29</w:t>
            </w:r>
            <w:r>
              <w:rPr>
                <w:rFonts w:ascii="宋体" w:hAnsi="宋体" w:cs="宋体" w:hint="eastAsia"/>
                <w:color w:val="000000"/>
                <w:kern w:val="0"/>
                <w:szCs w:val="21"/>
              </w:rPr>
              <w:t>51</w:t>
            </w:r>
            <w:r>
              <w:rPr>
                <w:rFonts w:ascii="宋体" w:hAnsi="宋体" w:cs="宋体"/>
                <w:color w:val="000000"/>
                <w:kern w:val="0"/>
                <w:szCs w:val="21"/>
              </w:rPr>
              <w:t>.</w:t>
            </w:r>
            <w:r>
              <w:rPr>
                <w:rFonts w:ascii="宋体" w:hAnsi="宋体" w:cs="宋体" w:hint="eastAsia"/>
                <w:color w:val="000000"/>
                <w:kern w:val="0"/>
                <w:szCs w:val="21"/>
              </w:rPr>
              <w:t>76</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30.96</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建造、翻建、大修自住住房</w:t>
            </w:r>
          </w:p>
        </w:tc>
        <w:tc>
          <w:tcPr>
            <w:tcW w:w="1440" w:type="dxa"/>
            <w:tcBorders>
              <w:top w:val="nil"/>
              <w:left w:val="nil"/>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1.53</w:t>
            </w:r>
          </w:p>
        </w:tc>
        <w:tc>
          <w:tcPr>
            <w:tcW w:w="1245" w:type="dxa"/>
            <w:tcBorders>
              <w:top w:val="nil"/>
              <w:left w:val="nil"/>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0.61</w:t>
            </w:r>
          </w:p>
        </w:tc>
        <w:tc>
          <w:tcPr>
            <w:tcW w:w="1455" w:type="dxa"/>
            <w:tcBorders>
              <w:top w:val="nil"/>
              <w:left w:val="nil"/>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70.05</w:t>
            </w:r>
          </w:p>
        </w:tc>
        <w:tc>
          <w:tcPr>
            <w:tcW w:w="1110" w:type="dxa"/>
            <w:tcBorders>
              <w:top w:val="nil"/>
              <w:left w:val="nil"/>
              <w:bottom w:val="single" w:sz="8" w:space="0" w:color="auto"/>
              <w:right w:val="nil"/>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0.74</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其他</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2.96</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1.16</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101.37</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1.06</w:t>
            </w:r>
          </w:p>
        </w:tc>
      </w:tr>
      <w:tr w:rsidR="00067B91" w:rsidTr="00CC77AB">
        <w:trPr>
          <w:cantSplit/>
          <w:trHeight w:val="615"/>
        </w:trPr>
        <w:tc>
          <w:tcPr>
            <w:tcW w:w="1275" w:type="dxa"/>
            <w:vMerge w:val="restart"/>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房屋建筑面积</w:t>
            </w: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90平方米(含)以下</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70.76</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27.7</w:t>
            </w:r>
            <w:r>
              <w:rPr>
                <w:rFonts w:ascii="宋体" w:hAnsi="宋体" w:cs="宋体"/>
                <w:color w:val="000000"/>
                <w:kern w:val="0"/>
                <w:szCs w:val="21"/>
              </w:rPr>
              <w:t>7</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2674.79</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28.05</w:t>
            </w:r>
          </w:p>
        </w:tc>
      </w:tr>
      <w:tr w:rsidR="00067B91" w:rsidTr="00CC77AB">
        <w:trPr>
          <w:cantSplit/>
          <w:trHeight w:val="555"/>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90至144平方米(含)</w:t>
            </w:r>
          </w:p>
        </w:tc>
        <w:tc>
          <w:tcPr>
            <w:tcW w:w="1440" w:type="dxa"/>
            <w:tcBorders>
              <w:top w:val="nil"/>
              <w:left w:val="nil"/>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kern w:val="0"/>
                <w:sz w:val="22"/>
                <w:szCs w:val="24"/>
              </w:rPr>
            </w:pPr>
            <w:r>
              <w:rPr>
                <w:rFonts w:ascii="宋体" w:hAnsi="宋体" w:cs="宋体" w:hint="eastAsia"/>
                <w:kern w:val="0"/>
                <w:sz w:val="22"/>
                <w:szCs w:val="24"/>
              </w:rPr>
              <w:t>156.49</w:t>
            </w:r>
          </w:p>
        </w:tc>
        <w:tc>
          <w:tcPr>
            <w:tcW w:w="1245" w:type="dxa"/>
            <w:tcBorders>
              <w:top w:val="nil"/>
              <w:left w:val="nil"/>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61.43</w:t>
            </w:r>
          </w:p>
        </w:tc>
        <w:tc>
          <w:tcPr>
            <w:tcW w:w="1455" w:type="dxa"/>
            <w:tcBorders>
              <w:top w:val="nil"/>
              <w:left w:val="nil"/>
              <w:bottom w:val="single" w:sz="8" w:space="0" w:color="auto"/>
              <w:right w:val="single" w:sz="8" w:space="0" w:color="auto"/>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5645.24</w:t>
            </w:r>
          </w:p>
        </w:tc>
        <w:tc>
          <w:tcPr>
            <w:tcW w:w="1110" w:type="dxa"/>
            <w:tcBorders>
              <w:top w:val="nil"/>
              <w:left w:val="nil"/>
              <w:bottom w:val="single" w:sz="8" w:space="0" w:color="auto"/>
              <w:right w:val="nil"/>
            </w:tcBorders>
            <w:vAlign w:val="center"/>
          </w:tcPr>
          <w:p w:rsidR="00067B91" w:rsidRDefault="00067B91" w:rsidP="00CC77AB">
            <w:pPr>
              <w:adjustRightInd w:val="0"/>
              <w:snapToGrid w:val="0"/>
              <w:jc w:val="center"/>
              <w:rPr>
                <w:rFonts w:ascii="宋体" w:hAnsi="宋体" w:cs="宋体" w:hint="eastAsia"/>
                <w:color w:val="000000"/>
                <w:kern w:val="0"/>
                <w:sz w:val="22"/>
                <w:szCs w:val="24"/>
              </w:rPr>
            </w:pPr>
            <w:r>
              <w:rPr>
                <w:rFonts w:ascii="宋体" w:hAnsi="宋体" w:cs="宋体" w:hint="eastAsia"/>
                <w:color w:val="000000"/>
                <w:kern w:val="0"/>
                <w:sz w:val="22"/>
                <w:szCs w:val="24"/>
              </w:rPr>
              <w:t>59.21</w:t>
            </w:r>
          </w:p>
        </w:tc>
      </w:tr>
      <w:tr w:rsidR="00067B91" w:rsidTr="00CC77AB">
        <w:trPr>
          <w:cantSplit/>
          <w:trHeight w:val="610"/>
        </w:trPr>
        <w:tc>
          <w:tcPr>
            <w:tcW w:w="1275" w:type="dxa"/>
            <w:vMerge/>
            <w:tcBorders>
              <w:top w:val="nil"/>
              <w:left w:val="nil"/>
              <w:bottom w:val="single" w:sz="4" w:space="0" w:color="auto"/>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4"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144平方米以上</w:t>
            </w:r>
          </w:p>
        </w:tc>
        <w:tc>
          <w:tcPr>
            <w:tcW w:w="1440" w:type="dxa"/>
            <w:tcBorders>
              <w:top w:val="nil"/>
              <w:left w:val="nil"/>
              <w:bottom w:val="single" w:sz="4"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27.51</w:t>
            </w:r>
          </w:p>
        </w:tc>
        <w:tc>
          <w:tcPr>
            <w:tcW w:w="1245" w:type="dxa"/>
            <w:tcBorders>
              <w:top w:val="nil"/>
              <w:left w:val="nil"/>
              <w:bottom w:val="single" w:sz="4"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10.80</w:t>
            </w:r>
          </w:p>
        </w:tc>
        <w:tc>
          <w:tcPr>
            <w:tcW w:w="1455" w:type="dxa"/>
            <w:tcBorders>
              <w:top w:val="nil"/>
              <w:left w:val="nil"/>
              <w:bottom w:val="single" w:sz="4"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1214.82</w:t>
            </w:r>
          </w:p>
        </w:tc>
        <w:tc>
          <w:tcPr>
            <w:tcW w:w="1110" w:type="dxa"/>
            <w:tcBorders>
              <w:top w:val="nil"/>
              <w:left w:val="nil"/>
              <w:bottom w:val="single" w:sz="4"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12.74</w:t>
            </w:r>
          </w:p>
        </w:tc>
      </w:tr>
      <w:tr w:rsidR="00067B91" w:rsidTr="00CC77AB">
        <w:trPr>
          <w:cantSplit/>
          <w:trHeight w:val="610"/>
        </w:trPr>
        <w:tc>
          <w:tcPr>
            <w:tcW w:w="1275" w:type="dxa"/>
            <w:vMerge w:val="restart"/>
            <w:tcBorders>
              <w:top w:val="single" w:sz="4" w:space="0" w:color="auto"/>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lastRenderedPageBreak/>
              <w:t>支持购房套数</w:t>
            </w:r>
          </w:p>
        </w:tc>
        <w:tc>
          <w:tcPr>
            <w:tcW w:w="2212" w:type="dxa"/>
            <w:tcBorders>
              <w:top w:val="single" w:sz="4"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首套</w:t>
            </w:r>
          </w:p>
        </w:tc>
        <w:tc>
          <w:tcPr>
            <w:tcW w:w="1440" w:type="dxa"/>
            <w:tcBorders>
              <w:top w:val="single" w:sz="4"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219.7</w:t>
            </w:r>
          </w:p>
        </w:tc>
        <w:tc>
          <w:tcPr>
            <w:tcW w:w="1245" w:type="dxa"/>
            <w:tcBorders>
              <w:top w:val="single" w:sz="4"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86.24</w:t>
            </w:r>
          </w:p>
        </w:tc>
        <w:tc>
          <w:tcPr>
            <w:tcW w:w="1455" w:type="dxa"/>
            <w:tcBorders>
              <w:top w:val="single" w:sz="4" w:space="0" w:color="auto"/>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8164.9</w:t>
            </w:r>
            <w:r>
              <w:rPr>
                <w:rFonts w:ascii="宋体" w:hAnsi="宋体" w:cs="宋体"/>
                <w:color w:val="000000"/>
                <w:kern w:val="0"/>
                <w:szCs w:val="21"/>
              </w:rPr>
              <w:t>1</w:t>
            </w:r>
          </w:p>
        </w:tc>
        <w:tc>
          <w:tcPr>
            <w:tcW w:w="1110" w:type="dxa"/>
            <w:tcBorders>
              <w:top w:val="single" w:sz="4" w:space="0" w:color="auto"/>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85.63</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二套及以上</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35.06</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13.76</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1369.94</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14.37</w:t>
            </w:r>
          </w:p>
        </w:tc>
      </w:tr>
      <w:tr w:rsidR="00067B91" w:rsidTr="00CC77AB">
        <w:trPr>
          <w:cantSplit/>
          <w:trHeight w:val="510"/>
        </w:trPr>
        <w:tc>
          <w:tcPr>
            <w:tcW w:w="1275" w:type="dxa"/>
            <w:vMerge w:val="restart"/>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贷款职工</w:t>
            </w: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单缴存职工</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118.63</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46.57</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4027.0</w:t>
            </w:r>
            <w:r>
              <w:rPr>
                <w:rFonts w:ascii="宋体" w:hAnsi="宋体" w:cs="宋体"/>
                <w:color w:val="000000"/>
                <w:kern w:val="0"/>
                <w:szCs w:val="21"/>
              </w:rPr>
              <w:t>2</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42.2</w:t>
            </w:r>
            <w:r>
              <w:rPr>
                <w:rFonts w:ascii="宋体" w:hAnsi="宋体" w:cs="宋体"/>
                <w:color w:val="000000"/>
                <w:kern w:val="0"/>
                <w:szCs w:val="21"/>
              </w:rPr>
              <w:t>4</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双缴存职工</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134.13</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52.65</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5425.49</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56.90</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三人及以上缴存职工</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2.00</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0.7</w:t>
            </w:r>
            <w:r>
              <w:rPr>
                <w:rFonts w:ascii="宋体" w:hAnsi="宋体" w:cs="宋体"/>
                <w:color w:val="000000"/>
                <w:kern w:val="0"/>
                <w:szCs w:val="21"/>
              </w:rPr>
              <w:t>8</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82.3</w:t>
            </w:r>
            <w:r>
              <w:rPr>
                <w:rFonts w:ascii="宋体" w:hAnsi="宋体" w:cs="宋体"/>
                <w:color w:val="000000"/>
                <w:kern w:val="0"/>
                <w:szCs w:val="21"/>
              </w:rPr>
              <w:t>4</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0.86</w:t>
            </w:r>
          </w:p>
        </w:tc>
      </w:tr>
      <w:tr w:rsidR="00067B91" w:rsidTr="00CC77AB">
        <w:trPr>
          <w:cantSplit/>
          <w:trHeight w:val="510"/>
        </w:trPr>
        <w:tc>
          <w:tcPr>
            <w:tcW w:w="1275" w:type="dxa"/>
            <w:vMerge w:val="restart"/>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贷款人年龄</w:t>
            </w: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30岁（含）以下</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84.8</w:t>
            </w:r>
            <w:r>
              <w:rPr>
                <w:rFonts w:ascii="宋体" w:hAnsi="宋体" w:cs="宋体"/>
                <w:color w:val="000000"/>
                <w:kern w:val="0"/>
                <w:szCs w:val="21"/>
              </w:rPr>
              <w:t>7</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33.31</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3175.</w:t>
            </w:r>
            <w:r>
              <w:rPr>
                <w:rFonts w:ascii="宋体" w:hAnsi="宋体" w:cs="宋体"/>
                <w:color w:val="000000"/>
                <w:kern w:val="0"/>
                <w:szCs w:val="21"/>
              </w:rPr>
              <w:t>74</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33.31</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30岁-40岁（含）</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97.8</w:t>
            </w:r>
            <w:r>
              <w:rPr>
                <w:rFonts w:ascii="宋体" w:hAnsi="宋体" w:cs="宋体"/>
                <w:color w:val="000000"/>
                <w:kern w:val="0"/>
                <w:szCs w:val="21"/>
              </w:rPr>
              <w:t>5</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38.41</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3891.8</w:t>
            </w:r>
            <w:r>
              <w:rPr>
                <w:rFonts w:ascii="宋体" w:hAnsi="宋体" w:cs="宋体"/>
                <w:color w:val="000000"/>
                <w:kern w:val="0"/>
                <w:szCs w:val="21"/>
              </w:rPr>
              <w:t>5</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40.82</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40岁-50岁（含）</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55.36</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21.73</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1948.00</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20.43</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50岁以上</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16.68</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6.55</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519.26</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5.4</w:t>
            </w:r>
            <w:r>
              <w:rPr>
                <w:rFonts w:ascii="宋体" w:hAnsi="宋体" w:cs="宋体"/>
                <w:color w:val="000000"/>
                <w:kern w:val="0"/>
                <w:szCs w:val="21"/>
              </w:rPr>
              <w:t>4</w:t>
            </w:r>
          </w:p>
        </w:tc>
      </w:tr>
      <w:tr w:rsidR="00067B91" w:rsidTr="00CC77AB">
        <w:trPr>
          <w:cantSplit/>
          <w:trHeight w:val="510"/>
        </w:trPr>
        <w:tc>
          <w:tcPr>
            <w:tcW w:w="1275" w:type="dxa"/>
            <w:vMerge w:val="restart"/>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收入水平</w:t>
            </w:r>
            <w:r>
              <w:rPr>
                <w:rFonts w:ascii="宋体" w:hAnsi="宋体" w:cs="宋体" w:hint="eastAsia"/>
                <w:b/>
                <w:bCs/>
                <w:color w:val="000000"/>
                <w:kern w:val="0"/>
                <w:szCs w:val="21"/>
                <w:vertAlign w:val="superscript"/>
              </w:rPr>
              <w:t>[4]</w:t>
            </w: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中、低收入</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244.69</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96.05</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9089.</w:t>
            </w:r>
            <w:r>
              <w:rPr>
                <w:rFonts w:ascii="宋体" w:hAnsi="宋体" w:cs="宋体"/>
                <w:color w:val="000000"/>
                <w:kern w:val="0"/>
                <w:szCs w:val="21"/>
              </w:rPr>
              <w:t>64</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95.33</w:t>
            </w:r>
          </w:p>
        </w:tc>
      </w:tr>
      <w:tr w:rsidR="00067B91" w:rsidTr="00CC77AB">
        <w:trPr>
          <w:cantSplit/>
          <w:trHeight w:val="510"/>
        </w:trPr>
        <w:tc>
          <w:tcPr>
            <w:tcW w:w="1275" w:type="dxa"/>
            <w:vMerge/>
            <w:tcBorders>
              <w:top w:val="nil"/>
              <w:left w:val="nil"/>
              <w:bottom w:val="single" w:sz="8" w:space="0" w:color="000000"/>
              <w:right w:val="single" w:sz="8" w:space="0" w:color="auto"/>
            </w:tcBorders>
            <w:vAlign w:val="center"/>
          </w:tcPr>
          <w:p w:rsidR="00067B91" w:rsidRDefault="00067B91" w:rsidP="00CC77AB">
            <w:pPr>
              <w:widowControl/>
              <w:jc w:val="center"/>
              <w:rPr>
                <w:rFonts w:ascii="宋体" w:hAnsi="宋体" w:cs="宋体"/>
                <w:b/>
                <w:bCs/>
                <w:color w:val="000000"/>
                <w:kern w:val="0"/>
                <w:szCs w:val="21"/>
              </w:rPr>
            </w:pPr>
          </w:p>
        </w:tc>
        <w:tc>
          <w:tcPr>
            <w:tcW w:w="2212"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高收入</w:t>
            </w:r>
          </w:p>
        </w:tc>
        <w:tc>
          <w:tcPr>
            <w:tcW w:w="1440"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10.07</w:t>
            </w:r>
          </w:p>
        </w:tc>
        <w:tc>
          <w:tcPr>
            <w:tcW w:w="124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3.95</w:t>
            </w:r>
          </w:p>
        </w:tc>
        <w:tc>
          <w:tcPr>
            <w:tcW w:w="1455" w:type="dxa"/>
            <w:tcBorders>
              <w:top w:val="nil"/>
              <w:left w:val="nil"/>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445.21</w:t>
            </w:r>
          </w:p>
        </w:tc>
        <w:tc>
          <w:tcPr>
            <w:tcW w:w="1110" w:type="dxa"/>
            <w:tcBorders>
              <w:top w:val="nil"/>
              <w:left w:val="nil"/>
              <w:bottom w:val="single" w:sz="8" w:space="0" w:color="auto"/>
              <w:right w:val="nil"/>
            </w:tcBorders>
            <w:vAlign w:val="center"/>
          </w:tcPr>
          <w:p w:rsidR="00067B91" w:rsidRDefault="00067B91" w:rsidP="00CC77AB">
            <w:pPr>
              <w:widowControl/>
              <w:jc w:val="center"/>
              <w:rPr>
                <w:rFonts w:ascii="宋体" w:hAnsi="宋体" w:cs="宋体"/>
                <w:color w:val="000000"/>
                <w:kern w:val="0"/>
                <w:szCs w:val="21"/>
              </w:rPr>
            </w:pPr>
            <w:r>
              <w:rPr>
                <w:rFonts w:ascii="宋体" w:hAnsi="宋体" w:cs="宋体" w:hint="eastAsia"/>
                <w:color w:val="000000"/>
                <w:kern w:val="0"/>
                <w:szCs w:val="21"/>
              </w:rPr>
              <w:t>4.67</w:t>
            </w:r>
          </w:p>
        </w:tc>
      </w:tr>
    </w:tbl>
    <w:p w:rsidR="00067B91" w:rsidRDefault="00067B91" w:rsidP="00067B91">
      <w:pPr>
        <w:keepNext/>
        <w:adjustRightInd w:val="0"/>
        <w:snapToGrid w:val="0"/>
        <w:spacing w:beforeLines="150" w:line="360" w:lineRule="auto"/>
        <w:jc w:val="center"/>
        <w:rPr>
          <w:rFonts w:ascii="宋体" w:hAnsi="宋体" w:cs="宋体" w:hint="eastAsia"/>
          <w:b/>
          <w:bCs/>
          <w:kern w:val="0"/>
          <w:sz w:val="30"/>
          <w:szCs w:val="30"/>
        </w:rPr>
      </w:pPr>
      <w:r>
        <w:rPr>
          <w:sz w:val="30"/>
        </w:rPr>
        <w:pict>
          <v:shape id="文本框 16" o:spid="_x0000_s2056" type="#_x0000_t202" style="position:absolute;left:0;text-align:left;margin-left:7.45pt;margin-top:32.55pt;width:42.75pt;height:45pt;z-index:251662336;mso-position-horizontal-relative:text;mso-position-vertical-relative:text" filled="f" stroked="f">
            <v:fill o:detectmouseclick="t"/>
            <v:textbox>
              <w:txbxContent>
                <w:p w:rsidR="00067B91" w:rsidRDefault="00067B91" w:rsidP="00067B91">
                  <w:pPr>
                    <w:adjustRightInd w:val="0"/>
                    <w:snapToGrid w:val="0"/>
                    <w:spacing w:line="360" w:lineRule="auto"/>
                    <w:rPr>
                      <w:rFonts w:ascii="宋体" w:hAnsi="宋体" w:cs="宋体" w:hint="eastAsia"/>
                      <w:kern w:val="0"/>
                      <w:sz w:val="24"/>
                      <w:szCs w:val="24"/>
                    </w:rPr>
                  </w:pPr>
                </w:p>
                <w:p w:rsidR="00067B91" w:rsidRDefault="00067B91" w:rsidP="00067B91">
                  <w:pPr>
                    <w:adjustRightInd w:val="0"/>
                    <w:snapToGrid w:val="0"/>
                    <w:spacing w:line="360" w:lineRule="auto"/>
                    <w:rPr>
                      <w:rFonts w:ascii="宋体" w:hAnsi="宋体" w:cs="宋体" w:hint="eastAsia"/>
                      <w:kern w:val="0"/>
                      <w:sz w:val="24"/>
                      <w:szCs w:val="24"/>
                    </w:rPr>
                  </w:pPr>
                  <w:r>
                    <w:rPr>
                      <w:rFonts w:ascii="宋体" w:hAnsi="宋体" w:cs="宋体" w:hint="eastAsia"/>
                      <w:kern w:val="0"/>
                      <w:sz w:val="24"/>
                      <w:szCs w:val="24"/>
                    </w:rPr>
                    <w:t>亿元</w:t>
                  </w:r>
                </w:p>
              </w:txbxContent>
            </v:textbox>
          </v:shape>
        </w:pict>
      </w:r>
      <w:r>
        <w:rPr>
          <w:sz w:val="30"/>
        </w:rPr>
        <w:pict>
          <v:shape id="文本框 32" o:spid="_x0000_s2061" type="#_x0000_t202" style="position:absolute;left:0;text-align:left;margin-left:390.7pt;margin-top:34.8pt;width:26.3pt;height:46.4pt;z-index:251667456;mso-position-horizontal-relative:text;mso-position-vertical-relative:text" filled="f" stroked="f">
            <v:fill o:detectmouseclick="t"/>
            <v:textbox>
              <w:txbxContent>
                <w:p w:rsidR="00067B91" w:rsidRDefault="00067B91" w:rsidP="00067B91">
                  <w:pPr>
                    <w:adjustRightInd w:val="0"/>
                    <w:snapToGrid w:val="0"/>
                    <w:spacing w:line="360" w:lineRule="auto"/>
                    <w:rPr>
                      <w:rFonts w:ascii="宋体" w:hAnsi="宋体" w:cs="宋体" w:hint="eastAsia"/>
                      <w:kern w:val="0"/>
                      <w:sz w:val="24"/>
                      <w:szCs w:val="24"/>
                    </w:rPr>
                  </w:pPr>
                </w:p>
                <w:p w:rsidR="00067B91" w:rsidRDefault="00067B91" w:rsidP="00067B91">
                  <w:pPr>
                    <w:adjustRightInd w:val="0"/>
                    <w:snapToGrid w:val="0"/>
                    <w:spacing w:line="360" w:lineRule="auto"/>
                    <w:rPr>
                      <w:rFonts w:ascii="宋体" w:hAnsi="宋体" w:cs="宋体" w:hint="eastAsia"/>
                      <w:kern w:val="0"/>
                      <w:sz w:val="24"/>
                      <w:szCs w:val="24"/>
                    </w:rPr>
                  </w:pPr>
                  <w:r>
                    <w:rPr>
                      <w:rFonts w:ascii="宋体" w:hAnsi="宋体" w:cs="宋体" w:hint="eastAsia"/>
                      <w:kern w:val="0"/>
                      <w:sz w:val="24"/>
                      <w:szCs w:val="24"/>
                    </w:rPr>
                    <w:t>%</w:t>
                  </w:r>
                </w:p>
              </w:txbxContent>
            </v:textbox>
          </v:shape>
        </w:pict>
      </w:r>
      <w:r>
        <w:rPr>
          <w:rFonts w:ascii="宋体" w:hAnsi="宋体" w:cs="宋体" w:hint="eastAsia"/>
          <w:b/>
          <w:bCs/>
          <w:kern w:val="0"/>
          <w:sz w:val="30"/>
          <w:szCs w:val="30"/>
        </w:rPr>
        <w:t>图3  2</w:t>
      </w:r>
      <w:r>
        <w:rPr>
          <w:rFonts w:ascii="宋体" w:hAnsi="宋体" w:cs="宋体"/>
          <w:b/>
          <w:bCs/>
          <w:kern w:val="0"/>
          <w:sz w:val="30"/>
          <w:szCs w:val="30"/>
        </w:rPr>
        <w:t>01</w:t>
      </w:r>
      <w:r>
        <w:rPr>
          <w:rFonts w:ascii="宋体" w:hAnsi="宋体" w:cs="宋体" w:hint="eastAsia"/>
          <w:b/>
          <w:bCs/>
          <w:kern w:val="0"/>
          <w:sz w:val="30"/>
          <w:szCs w:val="30"/>
        </w:rPr>
        <w:t>3—</w:t>
      </w:r>
      <w:r>
        <w:rPr>
          <w:rFonts w:ascii="宋体" w:hAnsi="宋体" w:cs="宋体"/>
          <w:b/>
          <w:bCs/>
          <w:kern w:val="0"/>
          <w:sz w:val="30"/>
          <w:szCs w:val="30"/>
        </w:rPr>
        <w:t>201</w:t>
      </w:r>
      <w:r>
        <w:rPr>
          <w:rFonts w:ascii="宋体" w:hAnsi="宋体" w:cs="宋体" w:hint="eastAsia"/>
          <w:b/>
          <w:bCs/>
          <w:kern w:val="0"/>
          <w:sz w:val="30"/>
          <w:szCs w:val="30"/>
        </w:rPr>
        <w:t>7年个人住房贷款金额及个人住房贷款率</w:t>
      </w:r>
    </w:p>
    <w:p w:rsidR="00067B91" w:rsidRDefault="00067B91" w:rsidP="00067B91">
      <w:pPr>
        <w:adjustRightInd w:val="0"/>
        <w:snapToGrid w:val="0"/>
        <w:spacing w:beforeLines="150" w:line="360" w:lineRule="auto"/>
        <w:ind w:firstLineChars="300" w:firstLine="630"/>
        <w:rPr>
          <w:rFonts w:ascii="仿宋_GB2312" w:eastAsia="仿宋_GB2312" w:hAnsi="仿宋_GB2312" w:cs="仿宋_GB2312" w:hint="eastAsia"/>
          <w:b/>
          <w:bCs/>
          <w:kern w:val="0"/>
          <w:sz w:val="32"/>
          <w:szCs w:val="32"/>
        </w:rPr>
      </w:pPr>
      <w:r>
        <w:rPr>
          <w:noProof/>
        </w:rPr>
        <w:drawing>
          <wp:anchor distT="0" distB="0" distL="114300" distR="114300" simplePos="0" relativeHeight="251665408" behindDoc="0" locked="0" layoutInCell="1" allowOverlap="1">
            <wp:simplePos x="0" y="0"/>
            <wp:positionH relativeFrom="column">
              <wp:posOffset>47625</wp:posOffset>
            </wp:positionH>
            <wp:positionV relativeFrom="paragraph">
              <wp:posOffset>354330</wp:posOffset>
            </wp:positionV>
            <wp:extent cx="5168265" cy="2650490"/>
            <wp:effectExtent l="0" t="0" r="0" b="0"/>
            <wp:wrapSquare wrapText="bothSides"/>
            <wp:docPr id="11" name="图片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_GB2312" w:eastAsia="仿宋_GB2312" w:hAnsi="仿宋_GB2312" w:cs="仿宋_GB2312" w:hint="eastAsia"/>
          <w:b/>
          <w:bCs/>
          <w:color w:val="000000"/>
          <w:kern w:val="0"/>
          <w:sz w:val="32"/>
          <w:szCs w:val="32"/>
        </w:rPr>
        <w:t>2.支持保障性住房建设试点项目贷款。</w:t>
      </w:r>
    </w:p>
    <w:p w:rsidR="00067B91" w:rsidRDefault="00067B91" w:rsidP="00067B91">
      <w:pPr>
        <w:adjustRightIn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2017年末，经住房城乡建设部会同财政部、人民银行批准，全国已开展住房公积金贷款支持保障性住房建设试点的</w:t>
      </w:r>
      <w:r>
        <w:rPr>
          <w:rFonts w:ascii="仿宋_GB2312" w:eastAsia="仿宋_GB2312" w:hAnsi="仿宋_GB2312" w:cs="仿宋_GB2312" w:hint="eastAsia"/>
          <w:kern w:val="0"/>
          <w:sz w:val="32"/>
          <w:szCs w:val="32"/>
        </w:rPr>
        <w:lastRenderedPageBreak/>
        <w:t>城市85个，试点项目374个，计划贷款额度1059.99亿元。</w:t>
      </w:r>
    </w:p>
    <w:p w:rsidR="00067B91" w:rsidRDefault="00067B91" w:rsidP="00067B91">
      <w:pPr>
        <w:adjustRightIn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2017年，发放试点项目贷款9.62亿元，回收试点项目贷款53.</w:t>
      </w:r>
      <w:r>
        <w:rPr>
          <w:rFonts w:ascii="仿宋_GB2312" w:eastAsia="仿宋_GB2312" w:hAnsi="仿宋_GB2312" w:cs="仿宋_GB2312"/>
          <w:kern w:val="0"/>
          <w:sz w:val="32"/>
          <w:szCs w:val="32"/>
        </w:rPr>
        <w:t>49</w:t>
      </w:r>
      <w:r>
        <w:rPr>
          <w:rFonts w:ascii="仿宋_GB2312" w:eastAsia="仿宋_GB2312" w:hAnsi="仿宋_GB2312" w:cs="仿宋_GB2312" w:hint="eastAsia"/>
          <w:kern w:val="0"/>
          <w:sz w:val="32"/>
          <w:szCs w:val="32"/>
        </w:rPr>
        <w:t>亿元。</w:t>
      </w:r>
    </w:p>
    <w:p w:rsidR="00067B91" w:rsidRDefault="00067B91" w:rsidP="00067B91">
      <w:pPr>
        <w:adjustRightIn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2017年末，累计向373个试点项目发放贷款871.69亿元。累计回收试点项目贷款789.89亿元，试点项目贷款余额81.80亿元。328个试点项目结清贷款本息，63个试点城市全部收回贷款本息。</w:t>
      </w:r>
    </w:p>
    <w:p w:rsidR="00067B91" w:rsidRDefault="00067B91" w:rsidP="00067B91">
      <w:pPr>
        <w:adjustRightInd w:val="0"/>
        <w:spacing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（四）国债。</w:t>
      </w:r>
      <w:r>
        <w:rPr>
          <w:rFonts w:ascii="仿宋_GB2312" w:eastAsia="仿宋_GB2312" w:hAnsi="仿宋_GB2312" w:cs="仿宋_GB2312" w:hint="eastAsia"/>
          <w:kern w:val="0"/>
          <w:sz w:val="32"/>
          <w:szCs w:val="32"/>
        </w:rPr>
        <w:t>2017年，兑付、转让、收回国债</w:t>
      </w: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7亿元，2017年末国债余额</w:t>
      </w:r>
      <w:r>
        <w:rPr>
          <w:rFonts w:ascii="仿宋_GB2312" w:eastAsia="仿宋_GB2312" w:hAnsi="仿宋_GB2312" w:cs="仿宋_GB2312"/>
          <w:kern w:val="0"/>
          <w:sz w:val="32"/>
          <w:szCs w:val="32"/>
        </w:rPr>
        <w:t>19</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5亿元。</w:t>
      </w:r>
    </w:p>
    <w:p w:rsidR="00067B91" w:rsidRDefault="00067B91" w:rsidP="00067B91">
      <w:pPr>
        <w:adjustRightInd w:val="0"/>
        <w:snapToGrid w:val="0"/>
        <w:spacing w:beforeLines="50" w:line="360" w:lineRule="auto"/>
        <w:ind w:firstLineChars="196" w:firstLine="627"/>
        <w:rPr>
          <w:rFonts w:ascii="黑体" w:eastAsia="黑体" w:hAnsi="黑体" w:cs="宋体"/>
          <w:b/>
          <w:kern w:val="0"/>
          <w:sz w:val="32"/>
          <w:szCs w:val="32"/>
        </w:rPr>
      </w:pPr>
      <w:r>
        <w:rPr>
          <w:rFonts w:ascii="黑体" w:eastAsia="黑体" w:hAnsi="黑体" w:cs="宋体" w:hint="eastAsia"/>
          <w:bCs/>
          <w:kern w:val="0"/>
          <w:sz w:val="32"/>
          <w:szCs w:val="32"/>
        </w:rPr>
        <w:t>三、业务收支及增值收益情况</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kern w:val="0"/>
          <w:sz w:val="32"/>
          <w:szCs w:val="32"/>
        </w:rPr>
        <w:t>（一）业务收入。</w:t>
      </w:r>
      <w:r>
        <w:rPr>
          <w:rFonts w:ascii="仿宋_GB2312" w:eastAsia="仿宋_GB2312" w:hAnsi="仿宋_GB2312" w:cs="仿宋_GB2312" w:hint="eastAsia"/>
          <w:kern w:val="0"/>
          <w:sz w:val="32"/>
          <w:szCs w:val="32"/>
        </w:rPr>
        <w:t>2017年,住房公积金业务收入</w:t>
      </w:r>
      <w:r>
        <w:rPr>
          <w:rFonts w:ascii="仿宋_GB2312" w:eastAsia="仿宋_GB2312" w:hAnsi="仿宋_GB2312" w:cs="仿宋_GB2312"/>
          <w:kern w:val="0"/>
          <w:sz w:val="32"/>
          <w:szCs w:val="32"/>
        </w:rPr>
        <w:t>1657</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69</w:t>
      </w:r>
      <w:r>
        <w:rPr>
          <w:rFonts w:ascii="仿宋_GB2312" w:eastAsia="仿宋_GB2312" w:hAnsi="仿宋_GB2312" w:cs="仿宋_GB2312" w:hint="eastAsia"/>
          <w:kern w:val="0"/>
          <w:sz w:val="32"/>
          <w:szCs w:val="32"/>
        </w:rPr>
        <w:t>亿元，比上年增长8.9</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%。其中，存款利息260.</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9亿元，委托贷款利息</w:t>
      </w:r>
      <w:r>
        <w:rPr>
          <w:rFonts w:ascii="仿宋_GB2312" w:eastAsia="仿宋_GB2312" w:hAnsi="仿宋_GB2312" w:cs="仿宋_GB2312"/>
          <w:kern w:val="0"/>
          <w:sz w:val="32"/>
          <w:szCs w:val="32"/>
        </w:rPr>
        <w:t>1387</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77</w:t>
      </w:r>
      <w:r>
        <w:rPr>
          <w:rFonts w:ascii="仿宋_GB2312" w:eastAsia="仿宋_GB2312" w:hAnsi="仿宋_GB2312" w:cs="仿宋_GB2312" w:hint="eastAsia"/>
          <w:kern w:val="0"/>
          <w:sz w:val="32"/>
          <w:szCs w:val="32"/>
        </w:rPr>
        <w:t>亿元，国债利息</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01</w:t>
      </w:r>
      <w:r>
        <w:rPr>
          <w:rFonts w:ascii="仿宋_GB2312" w:eastAsia="仿宋_GB2312" w:hAnsi="仿宋_GB2312" w:cs="仿宋_GB2312" w:hint="eastAsia"/>
          <w:kern w:val="0"/>
          <w:sz w:val="32"/>
          <w:szCs w:val="32"/>
        </w:rPr>
        <w:t>亿元，其他</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82</w:t>
      </w:r>
      <w:r>
        <w:rPr>
          <w:rFonts w:ascii="仿宋_GB2312" w:eastAsia="仿宋_GB2312" w:hAnsi="仿宋_GB2312" w:cs="仿宋_GB2312" w:hint="eastAsia"/>
          <w:kern w:val="0"/>
          <w:sz w:val="32"/>
          <w:szCs w:val="32"/>
        </w:rPr>
        <w:t>亿元。</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color w:val="FF0000"/>
          <w:kern w:val="0"/>
          <w:sz w:val="32"/>
          <w:szCs w:val="32"/>
        </w:rPr>
      </w:pPr>
      <w:r>
        <w:rPr>
          <w:rFonts w:ascii="仿宋_GB2312" w:eastAsia="仿宋_GB2312" w:hAnsi="仿宋_GB2312" w:cs="仿宋_GB2312" w:hint="eastAsia"/>
          <w:b/>
          <w:kern w:val="0"/>
          <w:sz w:val="32"/>
          <w:szCs w:val="32"/>
        </w:rPr>
        <w:t>（二）业务支出。</w:t>
      </w:r>
      <w:r>
        <w:rPr>
          <w:rFonts w:ascii="仿宋_GB2312" w:eastAsia="仿宋_GB2312" w:hAnsi="仿宋_GB2312" w:cs="仿宋_GB2312" w:hint="eastAsia"/>
          <w:kern w:val="0"/>
          <w:sz w:val="32"/>
          <w:szCs w:val="32"/>
        </w:rPr>
        <w:t>2017年,住房公积金业务支出</w:t>
      </w:r>
      <w:r>
        <w:rPr>
          <w:rFonts w:ascii="仿宋_GB2312" w:eastAsia="仿宋_GB2312" w:hAnsi="仿宋_GB2312" w:cs="仿宋_GB2312"/>
          <w:kern w:val="0"/>
          <w:sz w:val="32"/>
          <w:szCs w:val="32"/>
        </w:rPr>
        <w:t>89</w:t>
      </w:r>
      <w:r>
        <w:rPr>
          <w:rFonts w:ascii="仿宋_GB2312" w:eastAsia="仿宋_GB2312" w:hAnsi="仿宋_GB2312" w:cs="仿宋_GB2312" w:hint="eastAsia"/>
          <w:kern w:val="0"/>
          <w:sz w:val="32"/>
          <w:szCs w:val="32"/>
        </w:rPr>
        <w:t>4</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4</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亿元，比上年增长7.31%。其中，支付缴存职工利息</w:t>
      </w:r>
      <w:r>
        <w:rPr>
          <w:rFonts w:ascii="仿宋_GB2312" w:eastAsia="仿宋_GB2312" w:hAnsi="仿宋_GB2312" w:cs="仿宋_GB2312"/>
          <w:kern w:val="0"/>
          <w:sz w:val="32"/>
          <w:szCs w:val="32"/>
        </w:rPr>
        <w:t>743</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89</w:t>
      </w:r>
      <w:r>
        <w:rPr>
          <w:rFonts w:ascii="仿宋_GB2312" w:eastAsia="仿宋_GB2312" w:hAnsi="仿宋_GB2312" w:cs="仿宋_GB2312" w:hint="eastAsia"/>
          <w:kern w:val="0"/>
          <w:sz w:val="32"/>
          <w:szCs w:val="32"/>
        </w:rPr>
        <w:t>亿元，支付受委托银行归集手续费</w:t>
      </w:r>
      <w:r>
        <w:rPr>
          <w:rFonts w:ascii="仿宋_GB2312" w:eastAsia="仿宋_GB2312" w:hAnsi="仿宋_GB2312" w:cs="仿宋_GB2312"/>
          <w:kern w:val="0"/>
          <w:sz w:val="32"/>
          <w:szCs w:val="32"/>
        </w:rPr>
        <w:t>23</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56</w:t>
      </w:r>
      <w:r>
        <w:rPr>
          <w:rFonts w:ascii="仿宋_GB2312" w:eastAsia="仿宋_GB2312" w:hAnsi="仿宋_GB2312" w:cs="仿宋_GB2312" w:hint="eastAsia"/>
          <w:kern w:val="0"/>
          <w:sz w:val="32"/>
          <w:szCs w:val="32"/>
        </w:rPr>
        <w:t>亿元、委托贷款手续费</w:t>
      </w:r>
      <w:r>
        <w:rPr>
          <w:rFonts w:ascii="仿宋_GB2312" w:eastAsia="仿宋_GB2312" w:hAnsi="仿宋_GB2312" w:cs="仿宋_GB2312"/>
          <w:kern w:val="0"/>
          <w:sz w:val="32"/>
          <w:szCs w:val="32"/>
        </w:rPr>
        <w:t>54</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亿元，公转商贴息、融资成本等其他支出72.80亿元。</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kern w:val="0"/>
          <w:sz w:val="32"/>
          <w:szCs w:val="32"/>
          <w:u w:val="single"/>
        </w:rPr>
      </w:pPr>
      <w:r>
        <w:rPr>
          <w:rFonts w:ascii="仿宋_GB2312" w:eastAsia="仿宋_GB2312" w:hAnsi="仿宋_GB2312" w:cs="仿宋_GB2312" w:hint="eastAsia"/>
          <w:b/>
          <w:kern w:val="0"/>
          <w:sz w:val="32"/>
          <w:szCs w:val="32"/>
        </w:rPr>
        <w:t>（三）增值收益。</w:t>
      </w:r>
      <w:r>
        <w:rPr>
          <w:rFonts w:ascii="仿宋_GB2312" w:eastAsia="仿宋_GB2312" w:hAnsi="仿宋_GB2312" w:cs="仿宋_GB2312" w:hint="eastAsia"/>
          <w:kern w:val="0"/>
          <w:sz w:val="32"/>
          <w:szCs w:val="32"/>
        </w:rPr>
        <w:t>2017年，住房公积金增值收益763.2</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亿元，比上年增长10.98%；增值收益率</w:t>
      </w:r>
      <w:r>
        <w:rPr>
          <w:rFonts w:ascii="仿宋_GB2312" w:eastAsia="仿宋_GB2312" w:hAnsi="仿宋_GB2312" w:cs="仿宋_GB2312" w:hint="eastAsia"/>
          <w:bCs/>
          <w:color w:val="000000"/>
          <w:kern w:val="0"/>
          <w:sz w:val="32"/>
          <w:szCs w:val="32"/>
          <w:vertAlign w:val="superscript"/>
        </w:rPr>
        <w:t>[5]</w:t>
      </w:r>
      <w:r>
        <w:rPr>
          <w:rFonts w:ascii="仿宋_GB2312" w:eastAsia="仿宋_GB2312" w:hAnsi="仿宋_GB2312" w:cs="仿宋_GB2312" w:hint="eastAsia"/>
          <w:kern w:val="0"/>
          <w:sz w:val="32"/>
          <w:szCs w:val="32"/>
        </w:rPr>
        <w:t>1.57%。</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（四）增值收益分配。</w:t>
      </w:r>
      <w:r>
        <w:rPr>
          <w:rFonts w:ascii="仿宋_GB2312" w:eastAsia="仿宋_GB2312" w:hAnsi="仿宋_GB2312" w:cs="仿宋_GB2312" w:hint="eastAsia"/>
          <w:kern w:val="0"/>
          <w:sz w:val="32"/>
          <w:szCs w:val="32"/>
        </w:rPr>
        <w:t>2017年，提取住房公积金贷款风</w:t>
      </w:r>
      <w:r>
        <w:rPr>
          <w:rFonts w:ascii="仿宋_GB2312" w:eastAsia="仿宋_GB2312" w:hAnsi="仿宋_GB2312" w:cs="仿宋_GB2312" w:hint="eastAsia"/>
          <w:kern w:val="0"/>
          <w:sz w:val="32"/>
          <w:szCs w:val="32"/>
        </w:rPr>
        <w:lastRenderedPageBreak/>
        <w:t>险准备金</w:t>
      </w:r>
      <w:r>
        <w:rPr>
          <w:rFonts w:ascii="仿宋_GB2312" w:eastAsia="仿宋_GB2312" w:hAnsi="仿宋_GB2312" w:cs="仿宋_GB2312"/>
          <w:kern w:val="0"/>
          <w:sz w:val="32"/>
          <w:szCs w:val="32"/>
        </w:rPr>
        <w:t>212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亿元，提取管理费用</w:t>
      </w:r>
      <w:r>
        <w:rPr>
          <w:rFonts w:ascii="仿宋_GB2312" w:eastAsia="仿宋_GB2312" w:hAnsi="仿宋_GB2312" w:cs="仿宋_GB2312"/>
          <w:kern w:val="0"/>
          <w:sz w:val="32"/>
          <w:szCs w:val="32"/>
        </w:rPr>
        <w:t>106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5亿元，提取城市公共租赁住房（廉租住房）建设补充资金</w:t>
      </w:r>
      <w:r>
        <w:rPr>
          <w:rFonts w:ascii="仿宋_GB2312" w:eastAsia="仿宋_GB2312" w:hAnsi="仿宋_GB2312" w:cs="仿宋_GB2312"/>
          <w:kern w:val="0"/>
          <w:sz w:val="32"/>
          <w:szCs w:val="32"/>
        </w:rPr>
        <w:t>453.85</w:t>
      </w:r>
      <w:r>
        <w:rPr>
          <w:rFonts w:ascii="仿宋_GB2312" w:eastAsia="仿宋_GB2312" w:hAnsi="仿宋_GB2312" w:cs="仿宋_GB2312" w:hint="eastAsia"/>
          <w:kern w:val="0"/>
          <w:sz w:val="32"/>
          <w:szCs w:val="32"/>
        </w:rPr>
        <w:t>亿元。</w:t>
      </w:r>
    </w:p>
    <w:p w:rsidR="00067B91" w:rsidRDefault="00067B91" w:rsidP="00067B91">
      <w:pPr>
        <w:adjustRightInd w:val="0"/>
        <w:snapToGrid w:val="0"/>
        <w:spacing w:line="360" w:lineRule="auto"/>
        <w:ind w:firstLineChars="200" w:firstLine="640"/>
        <w:rPr>
          <w:rFonts w:ascii="仿宋_GB2312" w:eastAsia="仿宋_GB2312" w:hAnsi="仿宋_GB2312" w:cs="仿宋_GB2312" w:hint="eastAsia"/>
          <w:color w:val="FF0000"/>
          <w:kern w:val="0"/>
          <w:sz w:val="32"/>
          <w:szCs w:val="32"/>
        </w:rPr>
      </w:pPr>
      <w:r>
        <w:rPr>
          <w:rFonts w:ascii="仿宋_GB2312" w:eastAsia="仿宋_GB2312" w:hAnsi="仿宋_GB2312" w:cs="仿宋_GB2312" w:hint="eastAsia"/>
          <w:kern w:val="0"/>
          <w:sz w:val="32"/>
          <w:szCs w:val="32"/>
        </w:rPr>
        <w:t>2017年末，累计提取住房公积金贷款风险准备金</w:t>
      </w:r>
      <w:r>
        <w:rPr>
          <w:rFonts w:ascii="仿宋_GB2312" w:eastAsia="仿宋_GB2312" w:hAnsi="仿宋_GB2312" w:cs="仿宋_GB2312"/>
          <w:kern w:val="0"/>
          <w:sz w:val="32"/>
          <w:szCs w:val="32"/>
        </w:rPr>
        <w:t>1716.</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亿元，累计提取城市公共租赁住房（廉租住房）建设补充资金</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904.59亿元。</w:t>
      </w:r>
    </w:p>
    <w:p w:rsidR="00067B91" w:rsidRDefault="00067B91" w:rsidP="00067B91">
      <w:pPr>
        <w:keepNext/>
        <w:adjustRightInd w:val="0"/>
        <w:snapToGrid w:val="0"/>
        <w:spacing w:beforeLines="100" w:line="360" w:lineRule="auto"/>
        <w:jc w:val="center"/>
        <w:rPr>
          <w:rFonts w:ascii="宋体" w:hAnsi="宋体" w:cs="宋体"/>
          <w:b/>
          <w:bCs/>
          <w:kern w:val="0"/>
          <w:sz w:val="30"/>
          <w:szCs w:val="30"/>
        </w:rPr>
      </w:pPr>
      <w:r>
        <w:rPr>
          <w:rFonts w:ascii="宋体" w:hAnsi="宋体" w:cs="宋体" w:hint="eastAsia"/>
          <w:b/>
          <w:bCs/>
          <w:kern w:val="0"/>
          <w:sz w:val="30"/>
          <w:szCs w:val="30"/>
        </w:rPr>
        <w:t>表7  2017年各地区住房公积金增值收益及分配情况</w:t>
      </w:r>
    </w:p>
    <w:tbl>
      <w:tblPr>
        <w:tblW w:w="0" w:type="auto"/>
        <w:jc w:val="center"/>
        <w:tblBorders>
          <w:top w:val="single" w:sz="8" w:space="0" w:color="auto"/>
          <w:bottom w:val="single" w:sz="8" w:space="0" w:color="auto"/>
          <w:insideH w:val="single" w:sz="8" w:space="0" w:color="auto"/>
          <w:insideV w:val="single" w:sz="8" w:space="0" w:color="auto"/>
        </w:tblBorders>
        <w:tblLayout w:type="fixed"/>
        <w:tblCellMar>
          <w:left w:w="0" w:type="dxa"/>
          <w:right w:w="0" w:type="dxa"/>
        </w:tblCellMar>
        <w:tblLook w:val="0000"/>
      </w:tblPr>
      <w:tblGrid>
        <w:gridCol w:w="1037"/>
        <w:gridCol w:w="1133"/>
        <w:gridCol w:w="1112"/>
        <w:gridCol w:w="1062"/>
        <w:gridCol w:w="990"/>
        <w:gridCol w:w="1349"/>
        <w:gridCol w:w="1202"/>
        <w:gridCol w:w="1652"/>
      </w:tblGrid>
      <w:tr w:rsidR="00067B91" w:rsidTr="00CC77AB">
        <w:trPr>
          <w:cantSplit/>
          <w:trHeight w:hRule="exact" w:val="995"/>
          <w:jc w:val="center"/>
        </w:trPr>
        <w:tc>
          <w:tcPr>
            <w:tcW w:w="1037" w:type="dxa"/>
            <w:tcBorders>
              <w:top w:val="single" w:sz="8" w:space="0" w:color="auto"/>
              <w:right w:val="single" w:sz="8" w:space="0" w:color="auto"/>
            </w:tcBorders>
            <w:vAlign w:val="center"/>
          </w:tcPr>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地区</w:t>
            </w:r>
          </w:p>
        </w:tc>
        <w:tc>
          <w:tcPr>
            <w:tcW w:w="1133" w:type="dxa"/>
            <w:tcBorders>
              <w:top w:val="single" w:sz="8" w:space="0" w:color="auto"/>
              <w:left w:val="single" w:sz="8" w:space="0" w:color="auto"/>
              <w:right w:val="single" w:sz="8" w:space="0" w:color="auto"/>
            </w:tcBorders>
            <w:vAlign w:val="center"/>
          </w:tcPr>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业务收入（亿元）</w:t>
            </w:r>
          </w:p>
        </w:tc>
        <w:tc>
          <w:tcPr>
            <w:tcW w:w="1112" w:type="dxa"/>
            <w:tcBorders>
              <w:top w:val="single" w:sz="8" w:space="0" w:color="auto"/>
              <w:left w:val="single" w:sz="8" w:space="0" w:color="auto"/>
              <w:right w:val="single" w:sz="8" w:space="0" w:color="auto"/>
            </w:tcBorders>
            <w:vAlign w:val="center"/>
          </w:tcPr>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业务支出（亿元）</w:t>
            </w:r>
          </w:p>
        </w:tc>
        <w:tc>
          <w:tcPr>
            <w:tcW w:w="1062" w:type="dxa"/>
            <w:tcBorders>
              <w:top w:val="single" w:sz="8" w:space="0" w:color="auto"/>
              <w:left w:val="single" w:sz="8" w:space="0" w:color="auto"/>
              <w:right w:val="single" w:sz="8" w:space="0" w:color="auto"/>
            </w:tcBorders>
            <w:vAlign w:val="center"/>
          </w:tcPr>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增值收益（亿元）</w:t>
            </w:r>
          </w:p>
        </w:tc>
        <w:tc>
          <w:tcPr>
            <w:tcW w:w="990" w:type="dxa"/>
            <w:tcBorders>
              <w:top w:val="single" w:sz="8" w:space="0" w:color="auto"/>
              <w:left w:val="single" w:sz="8" w:space="0" w:color="auto"/>
              <w:right w:val="single" w:sz="8" w:space="0" w:color="auto"/>
            </w:tcBorders>
            <w:vAlign w:val="center"/>
          </w:tcPr>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增值收益率（%）</w:t>
            </w:r>
          </w:p>
        </w:tc>
        <w:tc>
          <w:tcPr>
            <w:tcW w:w="1349"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提取贷款风险准备金（亿元）</w:t>
            </w:r>
          </w:p>
        </w:tc>
        <w:tc>
          <w:tcPr>
            <w:tcW w:w="1202"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b/>
                <w:bCs/>
                <w:color w:val="000000"/>
                <w:kern w:val="0"/>
                <w:sz w:val="22"/>
              </w:rPr>
            </w:pPr>
            <w:r>
              <w:rPr>
                <w:rFonts w:ascii="宋体" w:hAnsi="宋体" w:cs="宋体" w:hint="eastAsia"/>
                <w:b/>
                <w:bCs/>
                <w:color w:val="000000"/>
                <w:kern w:val="0"/>
                <w:sz w:val="22"/>
              </w:rPr>
              <w:t xml:space="preserve"> 提取管理费用</w:t>
            </w:r>
          </w:p>
          <w:p w:rsidR="00067B91" w:rsidRDefault="00067B91" w:rsidP="00CC77AB">
            <w:pPr>
              <w:widowControl/>
              <w:jc w:val="center"/>
              <w:rPr>
                <w:rFonts w:ascii="宋体" w:hAnsi="宋体" w:cs="宋体"/>
                <w:b/>
                <w:bCs/>
                <w:color w:val="000000"/>
                <w:kern w:val="0"/>
                <w:sz w:val="22"/>
              </w:rPr>
            </w:pPr>
            <w:r>
              <w:rPr>
                <w:rFonts w:ascii="宋体" w:hAnsi="宋体" w:cs="宋体" w:hint="eastAsia"/>
                <w:b/>
                <w:bCs/>
                <w:color w:val="000000"/>
                <w:kern w:val="0"/>
                <w:sz w:val="22"/>
              </w:rPr>
              <w:t>（亿元）</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b/>
                <w:bCs/>
                <w:color w:val="000000"/>
                <w:kern w:val="0"/>
                <w:szCs w:val="21"/>
              </w:rPr>
            </w:pPr>
            <w:r>
              <w:rPr>
                <w:rFonts w:ascii="宋体" w:hAnsi="宋体" w:cs="宋体" w:hint="eastAsia"/>
                <w:b/>
                <w:bCs/>
                <w:color w:val="000000"/>
                <w:kern w:val="0"/>
                <w:szCs w:val="21"/>
              </w:rPr>
              <w:t>提取公租房（廉租房）建设补充资金</w:t>
            </w:r>
            <w:r>
              <w:rPr>
                <w:rFonts w:ascii="宋体" w:hAnsi="宋体" w:cs="宋体" w:hint="eastAsia"/>
                <w:b/>
                <w:bCs/>
                <w:color w:val="000000"/>
                <w:kern w:val="0"/>
                <w:sz w:val="22"/>
              </w:rPr>
              <w:t>（亿元）</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b/>
                <w:bCs/>
                <w:color w:val="000000"/>
                <w:kern w:val="0"/>
                <w:sz w:val="22"/>
              </w:rPr>
              <w:t>全国</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1657.69</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 xml:space="preserve">894.47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763.22</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1.57</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 xml:space="preserve">212.16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 xml:space="preserve">106.75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 xml:space="preserve">453.85 </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北京</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122.84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62.87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59.96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1.72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9.31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0.51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50.15</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天津</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45.99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30.36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15.63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1.31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1.20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3.69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10.74</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河北</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53.14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28.12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25.02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1.50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1.73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5.24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18.01</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山西</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30.65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14.99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15.67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1.92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3.24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3.26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14.19</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内蒙古</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36.21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17.71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18.50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1.67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7.39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3.83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7.04</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辽宁</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70.32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37.37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32.95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1.51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9.75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4.38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19.02</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吉林</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31.32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15.47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15.85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6.19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2.67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6.99</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黑龙江</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36.63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19.18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17.45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1.43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4.80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2.72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9.94</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上海</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122.71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61.24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61.47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1.82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36.31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1.78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23.38</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江苏</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125.35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77.37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47.98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1.31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22.93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5.48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22.85</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浙江</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97.07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56.48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40.60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1.48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21.71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4.13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14.76</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安徽</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54.25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31.06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23.19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1.59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2.37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4.66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16.34</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福建</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46.24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27.31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18.93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1.46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4.60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1.31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13.01</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江西</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36.61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20.06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16.55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1.71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2.76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2.60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11.20</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山东</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96.38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51.09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45.29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1.54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6.99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6.11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33.09</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河南</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57.10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30.66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26.43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1.49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9.47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4.56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12.66</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湖北</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67.12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37.28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29.85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1.57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5.03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5.16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18.52</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湖南</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51.15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24.93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26.21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1.73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4.41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5.72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17.10</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广东</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149.06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79.04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70.02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1.60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18.96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5.59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45.69</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广西</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30.31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14.80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15.52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1.65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4.19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2.81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8.52</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lastRenderedPageBreak/>
              <w:t>海南</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10.35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5.21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5.14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1.60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3.08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0.63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1.42</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重庆</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27.72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16.49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11.23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1.33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1.19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2.70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7.33</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四川</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74.95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36.66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38.29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1.69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9.89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6.86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21.57</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贵州</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25.57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14.72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10.85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1.35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1.10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3.29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6.46</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云南</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39.60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19.78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19.82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2.06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4.73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13.05</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西藏</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3.91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2.95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0.96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0.47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0.57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0.10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0.28</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陕西</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33.60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17.42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16.18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2.85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3.58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9.70</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甘肃</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30.09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16.50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13.59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1.63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2.80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4.01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6.78</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青海</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10.96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6.62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4.33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1.56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2.36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0.66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1.25</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宁夏</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8.25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4.36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3.89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0.40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0.72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2.78</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新疆</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28.53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14.59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13.94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1.53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2.30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3.02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8.56</w:t>
            </w:r>
          </w:p>
        </w:tc>
      </w:tr>
      <w:tr w:rsidR="00067B91" w:rsidTr="00CC77AB">
        <w:trPr>
          <w:cantSplit/>
          <w:trHeight w:hRule="exact" w:val="420"/>
          <w:jc w:val="center"/>
        </w:trPr>
        <w:tc>
          <w:tcPr>
            <w:tcW w:w="1037" w:type="dxa"/>
            <w:tcBorders>
              <w:top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color w:val="000000"/>
                <w:kern w:val="0"/>
                <w:sz w:val="22"/>
              </w:rPr>
            </w:pPr>
            <w:r>
              <w:rPr>
                <w:rFonts w:ascii="宋体" w:hAnsi="宋体" w:cs="宋体" w:hint="eastAsia"/>
                <w:color w:val="000000"/>
                <w:kern w:val="0"/>
                <w:sz w:val="22"/>
              </w:rPr>
              <w:t>新疆兵团</w:t>
            </w:r>
          </w:p>
        </w:tc>
        <w:tc>
          <w:tcPr>
            <w:tcW w:w="1133"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3.71 </w:t>
            </w:r>
          </w:p>
        </w:tc>
        <w:tc>
          <w:tcPr>
            <w:tcW w:w="111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 xml:space="preserve">1.78 </w:t>
            </w:r>
          </w:p>
        </w:tc>
        <w:tc>
          <w:tcPr>
            <w:tcW w:w="1062"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1.93 </w:t>
            </w:r>
          </w:p>
        </w:tc>
        <w:tc>
          <w:tcPr>
            <w:tcW w:w="990" w:type="dxa"/>
            <w:tcBorders>
              <w:top w:val="single" w:sz="8" w:space="0" w:color="auto"/>
              <w:left w:val="single" w:sz="8" w:space="0" w:color="auto"/>
              <w:bottom w:val="single" w:sz="8" w:space="0" w:color="auto"/>
              <w:right w:val="single" w:sz="8" w:space="0" w:color="auto"/>
            </w:tcBorders>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1.82 </w:t>
            </w:r>
          </w:p>
        </w:tc>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0.22 </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0.24 </w:t>
            </w:r>
          </w:p>
        </w:tc>
        <w:tc>
          <w:tcPr>
            <w:tcW w:w="165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067B91" w:rsidRDefault="00067B91" w:rsidP="00CC77AB">
            <w:pPr>
              <w:widowControl/>
              <w:jc w:val="center"/>
              <w:rPr>
                <w:rFonts w:ascii="宋体" w:hAnsi="宋体" w:cs="宋体" w:hint="eastAsia"/>
                <w:kern w:val="0"/>
                <w:szCs w:val="21"/>
              </w:rPr>
            </w:pPr>
            <w:r>
              <w:rPr>
                <w:rFonts w:ascii="宋体" w:hAnsi="宋体" w:cs="宋体" w:hint="eastAsia"/>
                <w:kern w:val="0"/>
                <w:szCs w:val="21"/>
              </w:rPr>
              <w:t>1.47</w:t>
            </w:r>
          </w:p>
        </w:tc>
      </w:tr>
    </w:tbl>
    <w:p w:rsidR="00067B91" w:rsidRDefault="00067B91" w:rsidP="00067B91">
      <w:pPr>
        <w:adjustRightInd w:val="0"/>
        <w:spacing w:beforeLines="100"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kern w:val="0"/>
          <w:sz w:val="32"/>
          <w:szCs w:val="32"/>
        </w:rPr>
        <w:t>（五）管理费用支出。</w:t>
      </w:r>
      <w:r>
        <w:rPr>
          <w:rFonts w:ascii="仿宋_GB2312" w:eastAsia="仿宋_GB2312" w:hAnsi="仿宋_GB2312" w:cs="仿宋_GB2312" w:hint="eastAsia"/>
          <w:kern w:val="0"/>
          <w:sz w:val="32"/>
          <w:szCs w:val="32"/>
        </w:rPr>
        <w:t>2017年，实际支出管理费用104.6</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亿元，比上年增长15.5</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%。其中，人员经费</w:t>
      </w:r>
      <w:r>
        <w:rPr>
          <w:rFonts w:ascii="仿宋_GB2312" w:eastAsia="仿宋_GB2312" w:hAnsi="仿宋_GB2312" w:cs="仿宋_GB2312" w:hint="eastAsia"/>
          <w:color w:val="000000"/>
          <w:kern w:val="0"/>
          <w:sz w:val="32"/>
          <w:szCs w:val="32"/>
          <w:vertAlign w:val="superscript"/>
        </w:rPr>
        <w:t>[6]</w:t>
      </w:r>
      <w:r>
        <w:t xml:space="preserve"> </w:t>
      </w:r>
      <w:r>
        <w:rPr>
          <w:rFonts w:ascii="仿宋_GB2312" w:eastAsia="仿宋_GB2312" w:hAnsi="仿宋_GB2312" w:cs="仿宋_GB2312" w:hint="eastAsia"/>
          <w:kern w:val="0"/>
          <w:sz w:val="32"/>
          <w:szCs w:val="32"/>
        </w:rPr>
        <w:t>47.74亿元，公用经费</w:t>
      </w:r>
      <w:r>
        <w:rPr>
          <w:rFonts w:ascii="仿宋_GB2312" w:eastAsia="仿宋_GB2312" w:hAnsi="仿宋_GB2312" w:cs="仿宋_GB2312" w:hint="eastAsia"/>
          <w:color w:val="000000"/>
          <w:kern w:val="0"/>
          <w:sz w:val="32"/>
          <w:szCs w:val="32"/>
          <w:vertAlign w:val="superscript"/>
        </w:rPr>
        <w:t>[7]</w:t>
      </w:r>
      <w:r>
        <w:rPr>
          <w:rFonts w:ascii="仿宋_GB2312" w:eastAsia="仿宋_GB2312" w:hAnsi="仿宋_GB2312" w:cs="仿宋_GB2312" w:hint="eastAsia"/>
          <w:kern w:val="0"/>
          <w:sz w:val="32"/>
          <w:szCs w:val="32"/>
        </w:rPr>
        <w:t>11.28亿元，专项经费</w:t>
      </w:r>
      <w:r>
        <w:rPr>
          <w:rFonts w:ascii="仿宋_GB2312" w:eastAsia="仿宋_GB2312" w:hAnsi="仿宋_GB2312" w:cs="仿宋_GB2312" w:hint="eastAsia"/>
          <w:color w:val="000000"/>
          <w:kern w:val="0"/>
          <w:sz w:val="32"/>
          <w:szCs w:val="32"/>
          <w:vertAlign w:val="superscript"/>
        </w:rPr>
        <w:t>[8]</w:t>
      </w:r>
      <w:r>
        <w:t xml:space="preserve"> </w:t>
      </w:r>
      <w:r>
        <w:rPr>
          <w:rFonts w:ascii="仿宋_GB2312" w:eastAsia="仿宋_GB2312" w:hAnsi="仿宋_GB2312" w:cs="仿宋_GB2312"/>
          <w:kern w:val="0"/>
          <w:sz w:val="32"/>
          <w:szCs w:val="32"/>
        </w:rPr>
        <w:t>45.59</w:t>
      </w:r>
      <w:r>
        <w:rPr>
          <w:rFonts w:ascii="仿宋_GB2312" w:eastAsia="仿宋_GB2312" w:hAnsi="仿宋_GB2312" w:cs="仿宋_GB2312" w:hint="eastAsia"/>
          <w:kern w:val="0"/>
          <w:sz w:val="32"/>
          <w:szCs w:val="32"/>
        </w:rPr>
        <w:t>亿元。</w:t>
      </w:r>
    </w:p>
    <w:p w:rsidR="00067B91" w:rsidRDefault="00067B91" w:rsidP="00067B91">
      <w:pPr>
        <w:adjustRightInd w:val="0"/>
        <w:snapToGrid w:val="0"/>
        <w:spacing w:beforeLines="50" w:line="360" w:lineRule="auto"/>
        <w:ind w:firstLineChars="200" w:firstLine="640"/>
        <w:outlineLvl w:val="0"/>
        <w:rPr>
          <w:rFonts w:ascii="黑体" w:eastAsia="黑体" w:hAnsi="黑体" w:cs="宋体"/>
          <w:b/>
          <w:color w:val="000000"/>
          <w:kern w:val="0"/>
          <w:sz w:val="32"/>
          <w:szCs w:val="32"/>
        </w:rPr>
      </w:pPr>
      <w:r>
        <w:rPr>
          <w:rFonts w:ascii="黑体" w:eastAsia="黑体" w:hAnsi="黑体" w:cs="宋体" w:hint="eastAsia"/>
          <w:color w:val="000000"/>
          <w:kern w:val="0"/>
          <w:sz w:val="32"/>
          <w:szCs w:val="32"/>
        </w:rPr>
        <w:t>四、资产风险情况</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kern w:val="0"/>
          <w:sz w:val="32"/>
          <w:szCs w:val="32"/>
        </w:rPr>
        <w:t>（一）个人住房贷款</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2017年末，住房公积金个人住房贷款逾期额</w:t>
      </w:r>
      <w:r>
        <w:rPr>
          <w:rFonts w:ascii="仿宋_GB2312" w:eastAsia="仿宋_GB2312" w:hAnsi="仿宋_GB2312" w:cs="仿宋_GB2312"/>
          <w:kern w:val="0"/>
          <w:sz w:val="32"/>
          <w:szCs w:val="32"/>
        </w:rPr>
        <w:t>10.58</w:t>
      </w:r>
      <w:r>
        <w:rPr>
          <w:rFonts w:ascii="仿宋_GB2312" w:eastAsia="仿宋_GB2312" w:hAnsi="仿宋_GB2312" w:cs="仿宋_GB2312" w:hint="eastAsia"/>
          <w:kern w:val="0"/>
          <w:sz w:val="32"/>
          <w:szCs w:val="32"/>
        </w:rPr>
        <w:t>亿元，逾期率</w:t>
      </w:r>
      <w:r>
        <w:rPr>
          <w:rFonts w:ascii="仿宋_GB2312" w:eastAsia="仿宋_GB2312" w:hAnsi="仿宋_GB2312" w:cs="仿宋_GB2312" w:hint="eastAsia"/>
          <w:kern w:val="0"/>
          <w:sz w:val="32"/>
          <w:szCs w:val="24"/>
          <w:vertAlign w:val="superscript"/>
        </w:rPr>
        <w:t>[9]</w:t>
      </w:r>
      <w:r>
        <w:rPr>
          <w:rFonts w:ascii="仿宋_GB2312" w:eastAsia="仿宋_GB2312" w:hAnsi="仿宋_GB2312" w:cs="仿宋_GB2312" w:hint="eastAsia"/>
          <w:kern w:val="0"/>
          <w:sz w:val="32"/>
          <w:szCs w:val="32"/>
        </w:rPr>
        <w:t>0.02%；住房公积金个人住房贷款风险准备金余额1691.18亿元，占个人住房贷款余额的3.75%；住房公积金个人住房贷款逾期额与个人住房贷款风险准备金余额的比率为0.</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3%。</w:t>
      </w:r>
    </w:p>
    <w:p w:rsidR="00067B91" w:rsidRDefault="00067B91" w:rsidP="00067B91">
      <w:pPr>
        <w:adjustRightInd w:val="0"/>
        <w:snapToGri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2017年，使用住房公积金个人住房贷款风险准备金核销呆坏账0.1</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亿元。</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（二）支持保障性住房建设试点项目贷款。</w:t>
      </w:r>
      <w:r>
        <w:rPr>
          <w:rFonts w:ascii="仿宋_GB2312" w:eastAsia="仿宋_GB2312" w:hAnsi="仿宋_GB2312" w:cs="仿宋_GB2312" w:hint="eastAsia"/>
          <w:bCs/>
          <w:kern w:val="0"/>
          <w:sz w:val="32"/>
          <w:szCs w:val="32"/>
        </w:rPr>
        <w:t>2017年末，无</w:t>
      </w:r>
      <w:r>
        <w:rPr>
          <w:rFonts w:ascii="仿宋_GB2312" w:eastAsia="仿宋_GB2312" w:hAnsi="仿宋_GB2312" w:cs="仿宋_GB2312" w:hint="eastAsia"/>
          <w:kern w:val="0"/>
          <w:sz w:val="32"/>
          <w:szCs w:val="32"/>
        </w:rPr>
        <w:t>逾期支持保障性住房建设试点项目贷款，试点项目贷款风</w:t>
      </w:r>
      <w:r>
        <w:rPr>
          <w:rFonts w:ascii="仿宋_GB2312" w:eastAsia="仿宋_GB2312" w:hAnsi="仿宋_GB2312" w:cs="仿宋_GB2312" w:hint="eastAsia"/>
          <w:kern w:val="0"/>
          <w:sz w:val="32"/>
          <w:szCs w:val="32"/>
        </w:rPr>
        <w:lastRenderedPageBreak/>
        <w:t>险准备金余额</w:t>
      </w:r>
      <w:r>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9亿元，占试点项目贷款余额的16.49%。</w:t>
      </w:r>
    </w:p>
    <w:p w:rsidR="00067B91" w:rsidRDefault="00067B91" w:rsidP="00067B91">
      <w:pPr>
        <w:spacing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kern w:val="0"/>
          <w:sz w:val="32"/>
          <w:szCs w:val="32"/>
        </w:rPr>
        <w:t>（三）历史遗留风险资产。</w:t>
      </w:r>
      <w:r>
        <w:rPr>
          <w:rFonts w:ascii="仿宋_GB2312" w:eastAsia="仿宋_GB2312" w:hAnsi="仿宋_GB2312" w:cs="仿宋_GB2312" w:hint="eastAsia"/>
          <w:kern w:val="0"/>
          <w:sz w:val="32"/>
          <w:szCs w:val="32"/>
        </w:rPr>
        <w:t>2017年1月至2018年5月，清收住房公积金历史遗留风险资产0.99亿元，清收率65.30%。</w:t>
      </w:r>
    </w:p>
    <w:p w:rsidR="00067B91" w:rsidRDefault="00067B91" w:rsidP="00067B91">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截至</w:t>
      </w:r>
      <w:r>
        <w:rPr>
          <w:rFonts w:ascii="仿宋_GB2312" w:eastAsia="仿宋_GB2312" w:hAnsi="仿宋_GB2312" w:cs="仿宋_GB2312" w:hint="eastAsia"/>
          <w:bCs/>
          <w:kern w:val="0"/>
          <w:sz w:val="32"/>
          <w:szCs w:val="32"/>
        </w:rPr>
        <w:t>2018年5月</w:t>
      </w:r>
      <w:r>
        <w:rPr>
          <w:rFonts w:ascii="仿宋_GB2312" w:eastAsia="仿宋_GB2312" w:hAnsi="仿宋_GB2312" w:cs="仿宋_GB2312" w:hint="eastAsia"/>
          <w:kern w:val="0"/>
          <w:sz w:val="32"/>
          <w:szCs w:val="32"/>
        </w:rPr>
        <w:t>，历史遗留风险资产余额0.53亿元，其中，山东省济南市逾期国债资金3392.06万元，云南省丽江市逾期国债资金1900万元。</w:t>
      </w:r>
    </w:p>
    <w:p w:rsidR="00067B91" w:rsidRDefault="00067B91" w:rsidP="00067B91">
      <w:pPr>
        <w:adjustRightInd w:val="0"/>
        <w:snapToGrid w:val="0"/>
        <w:spacing w:beforeLines="50" w:line="360" w:lineRule="auto"/>
        <w:ind w:firstLineChars="200" w:firstLine="640"/>
        <w:outlineLvl w:val="0"/>
        <w:rPr>
          <w:rFonts w:ascii="黑体" w:eastAsia="黑体" w:hAnsi="黑体" w:cs="宋体"/>
          <w:color w:val="000000"/>
          <w:kern w:val="0"/>
          <w:sz w:val="32"/>
          <w:szCs w:val="32"/>
        </w:rPr>
      </w:pPr>
      <w:r>
        <w:rPr>
          <w:rFonts w:ascii="黑体" w:eastAsia="黑体" w:hAnsi="黑体" w:cs="宋体" w:hint="eastAsia"/>
          <w:color w:val="000000"/>
          <w:kern w:val="0"/>
          <w:sz w:val="32"/>
          <w:szCs w:val="32"/>
        </w:rPr>
        <w:t>五、社会经济效益</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（一）缴存扩面取得新进展。</w:t>
      </w:r>
      <w:r>
        <w:rPr>
          <w:rFonts w:ascii="仿宋_GB2312" w:eastAsia="仿宋_GB2312" w:hAnsi="仿宋_GB2312" w:cs="仿宋_GB2312" w:hint="eastAsia"/>
          <w:sz w:val="32"/>
          <w:szCs w:val="32"/>
        </w:rPr>
        <w:t>2017年，全国净增住房公积金缴存单位</w:t>
      </w:r>
      <w:r>
        <w:rPr>
          <w:rFonts w:ascii="仿宋_GB2312" w:eastAsia="仿宋_GB2312" w:hAnsi="仿宋_GB2312" w:cs="仿宋_GB2312"/>
          <w:kern w:val="0"/>
          <w:sz w:val="32"/>
          <w:szCs w:val="32"/>
        </w:rPr>
        <w:t>24.08</w:t>
      </w:r>
      <w:r>
        <w:rPr>
          <w:rFonts w:ascii="仿宋_GB2312" w:eastAsia="仿宋_GB2312" w:hAnsi="仿宋_GB2312" w:cs="仿宋_GB2312" w:hint="eastAsia"/>
          <w:sz w:val="32"/>
          <w:szCs w:val="32"/>
        </w:rPr>
        <w:t>万个，净增住房公积金实缴职工</w:t>
      </w:r>
      <w:r>
        <w:rPr>
          <w:rFonts w:ascii="仿宋_GB2312" w:eastAsia="仿宋_GB2312" w:hAnsi="仿宋_GB2312" w:cs="仿宋_GB2312"/>
          <w:sz w:val="32"/>
          <w:szCs w:val="32"/>
        </w:rPr>
        <w:t>672.72</w:t>
      </w:r>
      <w:r>
        <w:rPr>
          <w:rFonts w:ascii="仿宋_GB2312" w:eastAsia="仿宋_GB2312" w:hAnsi="仿宋_GB2312" w:cs="仿宋_GB2312" w:hint="eastAsia"/>
          <w:sz w:val="32"/>
          <w:szCs w:val="32"/>
        </w:rPr>
        <w:t>万人。新开户单位数比上年增加5.88万个，新开户职工比上年增加215.</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万人。</w:t>
      </w:r>
    </w:p>
    <w:p w:rsidR="00067B91" w:rsidRDefault="00067B91" w:rsidP="00067B91">
      <w:pPr>
        <w:keepNext/>
        <w:adjustRightInd w:val="0"/>
        <w:snapToGrid w:val="0"/>
        <w:spacing w:beforeLines="50" w:line="360" w:lineRule="auto"/>
        <w:rPr>
          <w:rFonts w:ascii="宋体" w:hAnsi="宋体" w:cs="宋体" w:hint="eastAsia"/>
          <w:b/>
          <w:bCs/>
          <w:kern w:val="0"/>
          <w:sz w:val="30"/>
          <w:szCs w:val="30"/>
        </w:rPr>
      </w:pPr>
      <w:r>
        <w:rPr>
          <w:noProof/>
        </w:rPr>
        <w:drawing>
          <wp:anchor distT="0" distB="0" distL="114300" distR="114300" simplePos="0" relativeHeight="251668480" behindDoc="0" locked="0" layoutInCell="1" allowOverlap="1">
            <wp:simplePos x="0" y="0"/>
            <wp:positionH relativeFrom="column">
              <wp:posOffset>27305</wp:posOffset>
            </wp:positionH>
            <wp:positionV relativeFrom="paragraph">
              <wp:posOffset>795655</wp:posOffset>
            </wp:positionV>
            <wp:extent cx="5066665" cy="2762250"/>
            <wp:effectExtent l="0" t="0" r="0" b="0"/>
            <wp:wrapSquare wrapText="bothSides"/>
            <wp:docPr id="14" name="图片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sz w:val="30"/>
        </w:rPr>
        <w:pict>
          <v:shape id="文本框 22" o:spid="_x0000_s2058" type="#_x0000_t202" style="position:absolute;left:0;text-align:left;margin-left:362.2pt;margin-top:34.75pt;width:45.75pt;height:24.75pt;z-index:251664384;mso-position-horizontal-relative:text;mso-position-vertical-relative:text" filled="f" stroked="f">
            <v:textbox>
              <w:txbxContent>
                <w:p w:rsidR="00067B91" w:rsidRDefault="00067B91" w:rsidP="00067B91">
                  <w:pPr>
                    <w:rPr>
                      <w:rFonts w:ascii="宋体" w:hAnsi="宋体" w:cs="宋体" w:hint="eastAsia"/>
                      <w:sz w:val="24"/>
                      <w:szCs w:val="24"/>
                    </w:rPr>
                  </w:pPr>
                  <w:r>
                    <w:rPr>
                      <w:rFonts w:ascii="宋体" w:hAnsi="宋体" w:cs="宋体" w:hint="eastAsia"/>
                      <w:sz w:val="24"/>
                      <w:szCs w:val="24"/>
                    </w:rPr>
                    <w:t>万个</w:t>
                  </w:r>
                </w:p>
              </w:txbxContent>
            </v:textbox>
          </v:shape>
        </w:pict>
      </w:r>
      <w:r>
        <w:rPr>
          <w:sz w:val="30"/>
        </w:rPr>
        <w:pict>
          <v:shape id="文本框 20" o:spid="_x0000_s2057" type="#_x0000_t202" style="position:absolute;left:0;text-align:left;margin-left:4.45pt;margin-top:32.5pt;width:45.75pt;height:24.75pt;z-index:251663360;mso-position-horizontal-relative:text;mso-position-vertical-relative:text" filled="f" stroked="f">
            <v:fill o:detectmouseclick="t"/>
            <v:textbox>
              <w:txbxContent>
                <w:p w:rsidR="00067B91" w:rsidRDefault="00067B91" w:rsidP="00067B91">
                  <w:pPr>
                    <w:rPr>
                      <w:rFonts w:ascii="宋体" w:hAnsi="宋体" w:cs="宋体" w:hint="eastAsia"/>
                      <w:sz w:val="24"/>
                      <w:szCs w:val="24"/>
                    </w:rPr>
                  </w:pPr>
                  <w:r>
                    <w:rPr>
                      <w:rFonts w:ascii="宋体" w:hAnsi="宋体" w:cs="宋体" w:hint="eastAsia"/>
                      <w:sz w:val="24"/>
                      <w:szCs w:val="24"/>
                    </w:rPr>
                    <w:t>万人</w:t>
                  </w:r>
                </w:p>
              </w:txbxContent>
            </v:textbox>
          </v:shape>
        </w:pict>
      </w:r>
      <w:r>
        <w:rPr>
          <w:rFonts w:ascii="宋体" w:hAnsi="宋体" w:cs="宋体" w:hint="eastAsia"/>
          <w:b/>
          <w:bCs/>
          <w:kern w:val="0"/>
          <w:sz w:val="30"/>
          <w:szCs w:val="30"/>
        </w:rPr>
        <w:t xml:space="preserve">        图4  2</w:t>
      </w:r>
      <w:r>
        <w:rPr>
          <w:rFonts w:ascii="宋体" w:hAnsi="宋体" w:cs="宋体"/>
          <w:b/>
          <w:bCs/>
          <w:kern w:val="0"/>
          <w:sz w:val="30"/>
          <w:szCs w:val="30"/>
        </w:rPr>
        <w:t>01</w:t>
      </w:r>
      <w:r>
        <w:rPr>
          <w:rFonts w:ascii="宋体" w:hAnsi="宋体" w:cs="宋体" w:hint="eastAsia"/>
          <w:b/>
          <w:bCs/>
          <w:kern w:val="0"/>
          <w:sz w:val="30"/>
          <w:szCs w:val="30"/>
        </w:rPr>
        <w:t>3—</w:t>
      </w:r>
      <w:r>
        <w:rPr>
          <w:rFonts w:ascii="宋体" w:hAnsi="宋体" w:cs="宋体"/>
          <w:b/>
          <w:bCs/>
          <w:kern w:val="0"/>
          <w:sz w:val="30"/>
          <w:szCs w:val="30"/>
        </w:rPr>
        <w:t>201</w:t>
      </w:r>
      <w:r>
        <w:rPr>
          <w:rFonts w:ascii="宋体" w:hAnsi="宋体" w:cs="宋体" w:hint="eastAsia"/>
          <w:b/>
          <w:bCs/>
          <w:kern w:val="0"/>
          <w:sz w:val="30"/>
          <w:szCs w:val="30"/>
        </w:rPr>
        <w:t>7年实缴单位数和实缴职工人数</w:t>
      </w:r>
      <w:r>
        <w:br w:type="page"/>
      </w:r>
      <w:r>
        <w:rPr>
          <w:rFonts w:hint="eastAsia"/>
        </w:rPr>
        <w:lastRenderedPageBreak/>
        <w:t xml:space="preserve">      </w:t>
      </w:r>
      <w:r>
        <w:rPr>
          <w:rFonts w:ascii="仿宋_GB2312" w:eastAsia="仿宋_GB2312" w:hAnsi="仿宋_GB2312" w:cs="仿宋_GB2312" w:hint="eastAsia"/>
          <w:sz w:val="32"/>
          <w:szCs w:val="32"/>
        </w:rPr>
        <w:t>缴存职工中，城镇私营企业及其他城镇企业、外商投资企业、民办非企业单位和其他类型单位占45.31%，比上年增加2.45个百分点。</w:t>
      </w:r>
    </w:p>
    <w:p w:rsidR="00067B91" w:rsidRDefault="00067B91" w:rsidP="00067B91">
      <w:pPr>
        <w:adjustRightInd w:val="0"/>
        <w:snapToGrid w:val="0"/>
        <w:spacing w:beforeLines="100" w:line="360" w:lineRule="auto"/>
        <w:ind w:firstLine="641"/>
        <w:rPr>
          <w:rFonts w:ascii="宋体" w:hAnsi="宋体" w:cs="宋体" w:hint="eastAsia"/>
          <w:b/>
          <w:bCs/>
          <w:kern w:val="0"/>
          <w:sz w:val="30"/>
          <w:szCs w:val="30"/>
        </w:rPr>
      </w:pPr>
      <w:r>
        <w:rPr>
          <w:noProof/>
        </w:rPr>
        <w:drawing>
          <wp:anchor distT="0" distB="0" distL="114300" distR="114300" simplePos="0" relativeHeight="251669504" behindDoc="1" locked="0" layoutInCell="1" allowOverlap="1">
            <wp:simplePos x="0" y="0"/>
            <wp:positionH relativeFrom="column">
              <wp:posOffset>-412115</wp:posOffset>
            </wp:positionH>
            <wp:positionV relativeFrom="paragraph">
              <wp:posOffset>633730</wp:posOffset>
            </wp:positionV>
            <wp:extent cx="6108065" cy="3127375"/>
            <wp:effectExtent l="19050" t="0" r="6985" b="0"/>
            <wp:wrapTight wrapText="bothSides">
              <wp:wrapPolygon edited="0">
                <wp:start x="-67" y="0"/>
                <wp:lineTo x="-67" y="21446"/>
                <wp:lineTo x="21625" y="21446"/>
                <wp:lineTo x="21625" y="0"/>
                <wp:lineTo x="-67" y="0"/>
              </wp:wrapPolygon>
            </wp:wrapTight>
            <wp:docPr id="1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0"/>
                    <a:srcRect/>
                    <a:stretch>
                      <a:fillRect/>
                    </a:stretch>
                  </pic:blipFill>
                  <pic:spPr bwMode="auto">
                    <a:xfrm>
                      <a:off x="0" y="0"/>
                      <a:ext cx="6108065" cy="3127375"/>
                    </a:xfrm>
                    <a:prstGeom prst="rect">
                      <a:avLst/>
                    </a:prstGeom>
                    <a:noFill/>
                    <a:ln w="9525">
                      <a:noFill/>
                      <a:miter lim="800000"/>
                      <a:headEnd/>
                      <a:tailEnd/>
                    </a:ln>
                    <a:effectLst/>
                  </pic:spPr>
                </pic:pic>
              </a:graphicData>
            </a:graphic>
          </wp:anchor>
        </w:drawing>
      </w:r>
      <w:r>
        <w:rPr>
          <w:rFonts w:ascii="宋体" w:hAnsi="宋体" w:cs="宋体" w:hint="eastAsia"/>
          <w:b/>
          <w:bCs/>
          <w:kern w:val="0"/>
          <w:sz w:val="30"/>
          <w:szCs w:val="30"/>
        </w:rPr>
        <w:t>图5  2014—2017年按单位性质分缴存职工人数占比变化</w:t>
      </w:r>
    </w:p>
    <w:p w:rsidR="00067B91" w:rsidRDefault="00067B91" w:rsidP="00067B91">
      <w:pPr>
        <w:adjustRightInd w:val="0"/>
        <w:snapToGrid w:val="0"/>
        <w:spacing w:beforeLines="100" w:line="360" w:lineRule="auto"/>
        <w:ind w:firstLine="64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新开户职工中，城镇私营企业及其他城镇企业、外商投资企业、民办非企业单位和其他类型单位的职工占比达71.37%，比上年增加2.26个百分点；农村转移人口及新毕业大学生等新市民966.28万人。2017年11月末落实</w:t>
      </w:r>
      <w:r>
        <w:rPr>
          <w:rFonts w:ascii="仿宋_GB2312" w:eastAsia="仿宋_GB2312" w:hAnsi="仿宋_GB2312" w:cs="仿宋_GB2312" w:hint="eastAsia"/>
          <w:bCs/>
          <w:kern w:val="0"/>
          <w:sz w:val="32"/>
          <w:szCs w:val="32"/>
        </w:rPr>
        <w:t>在内地就业的港澳台同胞住房公积金待遇后,截至2017年底，</w:t>
      </w:r>
      <w:r>
        <w:rPr>
          <w:rFonts w:ascii="仿宋_GB2312" w:eastAsia="仿宋_GB2312" w:hAnsi="仿宋_GB2312" w:cs="仿宋_GB2312" w:hint="eastAsia"/>
          <w:bCs/>
          <w:sz w:val="32"/>
          <w:szCs w:val="32"/>
        </w:rPr>
        <w:t>有0.69万港澳台同胞纳入</w:t>
      </w:r>
      <w:r>
        <w:rPr>
          <w:rFonts w:ascii="仿宋_GB2312" w:eastAsia="仿宋_GB2312" w:hAnsi="仿宋_GB2312" w:cs="仿宋_GB2312" w:hint="eastAsia"/>
          <w:sz w:val="32"/>
          <w:szCs w:val="32"/>
        </w:rPr>
        <w:t>住房公积金制度覆盖范围。</w:t>
      </w:r>
    </w:p>
    <w:p w:rsidR="00067B91" w:rsidRDefault="00067B91" w:rsidP="00067B91">
      <w:pPr>
        <w:adjustRightInd w:val="0"/>
        <w:snapToGrid w:val="0"/>
        <w:spacing w:beforeLines="100" w:line="360" w:lineRule="auto"/>
        <w:jc w:val="center"/>
        <w:rPr>
          <w:rFonts w:ascii="宋体" w:hAnsi="宋体" w:cs="宋体" w:hint="eastAsia"/>
          <w:b/>
          <w:bCs/>
          <w:kern w:val="0"/>
          <w:sz w:val="30"/>
          <w:szCs w:val="30"/>
        </w:rPr>
      </w:pPr>
    </w:p>
    <w:p w:rsidR="00067B91" w:rsidRDefault="00067B91" w:rsidP="00067B91">
      <w:pPr>
        <w:adjustRightInd w:val="0"/>
        <w:snapToGrid w:val="0"/>
        <w:spacing w:beforeLines="100" w:line="360" w:lineRule="auto"/>
        <w:jc w:val="center"/>
        <w:rPr>
          <w:rFonts w:ascii="宋体" w:hAnsi="宋体" w:cs="宋体" w:hint="eastAsia"/>
          <w:b/>
          <w:bCs/>
          <w:kern w:val="0"/>
          <w:sz w:val="30"/>
          <w:szCs w:val="30"/>
        </w:rPr>
      </w:pPr>
    </w:p>
    <w:p w:rsidR="00067B91" w:rsidRDefault="00067B91" w:rsidP="00067B91">
      <w:pPr>
        <w:adjustRightInd w:val="0"/>
        <w:snapToGrid w:val="0"/>
        <w:spacing w:beforeLines="100" w:line="360" w:lineRule="auto"/>
        <w:jc w:val="center"/>
        <w:rPr>
          <w:rFonts w:ascii="宋体" w:hAnsi="宋体" w:cs="宋体" w:hint="eastAsia"/>
          <w:b/>
          <w:bCs/>
          <w:kern w:val="0"/>
          <w:sz w:val="30"/>
          <w:szCs w:val="30"/>
        </w:rPr>
      </w:pPr>
      <w:r>
        <w:rPr>
          <w:rFonts w:ascii="宋体" w:hAnsi="宋体" w:cs="宋体" w:hint="eastAsia"/>
          <w:b/>
          <w:bCs/>
          <w:kern w:val="0"/>
          <w:sz w:val="30"/>
          <w:szCs w:val="30"/>
        </w:rPr>
        <w:lastRenderedPageBreak/>
        <w:t>图6 2017年按单位性质分新开户职工人数占比</w:t>
      </w:r>
    </w:p>
    <w:p w:rsidR="00067B91" w:rsidRDefault="00067B91" w:rsidP="00067B91">
      <w:pPr>
        <w:adjustRightInd w:val="0"/>
        <w:snapToGrid w:val="0"/>
        <w:spacing w:line="360" w:lineRule="auto"/>
        <w:ind w:leftChars="-94" w:left="-69" w:hangingChars="61" w:hanging="128"/>
        <w:jc w:val="center"/>
        <w:rPr>
          <w:rFonts w:ascii="仿宋_GB2312" w:eastAsia="仿宋_GB2312" w:hAnsi="仿宋_GB2312" w:cs="仿宋_GB2312" w:hint="eastAsia"/>
          <w:b/>
          <w:sz w:val="32"/>
          <w:szCs w:val="32"/>
        </w:rPr>
      </w:pPr>
      <w:bookmarkStart w:id="1" w:name="OLE_LINK4"/>
      <w:r>
        <w:rPr>
          <w:noProof/>
        </w:rPr>
        <w:drawing>
          <wp:inline distT="0" distB="0" distL="0" distR="0">
            <wp:extent cx="4962525" cy="2924175"/>
            <wp:effectExtent l="0" t="0" r="0" b="0"/>
            <wp:docPr id="3"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
    </w:p>
    <w:p w:rsidR="00067B91" w:rsidRDefault="00067B91" w:rsidP="00067B91">
      <w:pPr>
        <w:adjustRightInd w:val="0"/>
        <w:snapToGrid w:val="0"/>
        <w:spacing w:beforeLines="100" w:line="360" w:lineRule="auto"/>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sz w:val="32"/>
          <w:szCs w:val="32"/>
        </w:rPr>
        <w:t>（二）基本住房消费支持有力。</w:t>
      </w:r>
      <w:r>
        <w:rPr>
          <w:rFonts w:ascii="仿宋_GB2312" w:eastAsia="仿宋_GB2312" w:hAnsi="仿宋_GB2312" w:cs="仿宋_GB2312" w:hint="eastAsia"/>
          <w:kern w:val="0"/>
          <w:sz w:val="32"/>
          <w:szCs w:val="32"/>
        </w:rPr>
        <w:t>2017年，住房租赁提取金额</w:t>
      </w:r>
      <w:r>
        <w:rPr>
          <w:rFonts w:ascii="仿宋_GB2312" w:eastAsia="仿宋_GB2312" w:hAnsi="仿宋_GB2312" w:cs="仿宋_GB2312"/>
          <w:kern w:val="0"/>
          <w:sz w:val="32"/>
          <w:szCs w:val="32"/>
        </w:rPr>
        <w:t>444</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6亿元，同比增长22.21%；住房租赁提取人数495.52万人；人均提取金额0.9万元。</w:t>
      </w:r>
    </w:p>
    <w:p w:rsidR="00067B91" w:rsidRDefault="00067B91" w:rsidP="00067B91">
      <w:pPr>
        <w:adjustRightInd w:val="0"/>
        <w:snapToGri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2017年发放的个人住房贷款中，中、低收入群体占96.05%，比上年增加1.23个百分点；首套住房贷款占86.24%，比上年增加2.</w:t>
      </w:r>
      <w:r>
        <w:rPr>
          <w:rFonts w:ascii="仿宋_GB2312" w:eastAsia="仿宋_GB2312" w:hAnsi="仿宋_GB2312" w:cs="仿宋_GB2312"/>
          <w:kern w:val="0"/>
          <w:sz w:val="32"/>
          <w:szCs w:val="32"/>
        </w:rPr>
        <w:t>73</w:t>
      </w:r>
      <w:r>
        <w:rPr>
          <w:rFonts w:ascii="仿宋_GB2312" w:eastAsia="仿宋_GB2312" w:hAnsi="仿宋_GB2312" w:cs="仿宋_GB2312" w:hint="eastAsia"/>
          <w:kern w:val="0"/>
          <w:sz w:val="32"/>
          <w:szCs w:val="32"/>
        </w:rPr>
        <w:t>个百分点；144（含）平方米以下普通住房贷款占89.20%，比上年减少1.07个百分点。</w:t>
      </w:r>
    </w:p>
    <w:p w:rsidR="00067B91" w:rsidRDefault="00067B91" w:rsidP="00067B91">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2017年，共发放</w:t>
      </w:r>
      <w:r>
        <w:rPr>
          <w:rFonts w:ascii="仿宋_GB2312" w:eastAsia="仿宋_GB2312" w:hAnsi="仿宋_GB2312" w:cs="仿宋_GB2312" w:hint="eastAsia"/>
          <w:sz w:val="32"/>
          <w:szCs w:val="32"/>
        </w:rPr>
        <w:t>异地贷款</w:t>
      </w:r>
      <w:r>
        <w:rPr>
          <w:rFonts w:ascii="仿宋_GB2312" w:eastAsia="仿宋_GB2312" w:hAnsi="仿宋_GB2312" w:cs="仿宋_GB2312" w:hint="eastAsia"/>
          <w:kern w:val="0"/>
          <w:sz w:val="32"/>
          <w:szCs w:val="24"/>
          <w:vertAlign w:val="superscript"/>
        </w:rPr>
        <w:t>[10]</w:t>
      </w:r>
      <w:r>
        <w:rPr>
          <w:rFonts w:ascii="仿宋_GB2312" w:eastAsia="仿宋_GB2312" w:hAnsi="仿宋_GB2312" w:cs="仿宋_GB2312" w:hint="eastAsia"/>
          <w:sz w:val="32"/>
          <w:szCs w:val="32"/>
        </w:rPr>
        <w:t>14.38万笔、</w:t>
      </w:r>
      <w:r>
        <w:rPr>
          <w:rFonts w:ascii="仿宋_GB2312" w:eastAsia="仿宋_GB2312" w:hAnsi="仿宋_GB2312" w:cs="仿宋_GB2312"/>
          <w:sz w:val="32"/>
          <w:szCs w:val="32"/>
        </w:rPr>
        <w:t>492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1亿元；2017年末，累计发放异地贷款</w:t>
      </w:r>
      <w:r>
        <w:rPr>
          <w:rFonts w:ascii="仿宋_GB2312" w:eastAsia="仿宋_GB2312" w:hAnsi="仿宋_GB2312" w:cs="仿宋_GB2312"/>
          <w:sz w:val="32"/>
          <w:szCs w:val="32"/>
        </w:rPr>
        <w:t>54.24</w:t>
      </w:r>
      <w:r>
        <w:rPr>
          <w:rFonts w:ascii="仿宋_GB2312" w:eastAsia="仿宋_GB2312" w:hAnsi="仿宋_GB2312" w:cs="仿宋_GB2312" w:hint="eastAsia"/>
          <w:sz w:val="32"/>
          <w:szCs w:val="32"/>
        </w:rPr>
        <w:t>万笔、</w:t>
      </w:r>
      <w:r>
        <w:rPr>
          <w:rFonts w:ascii="仿宋_GB2312" w:eastAsia="仿宋_GB2312" w:hAnsi="仿宋_GB2312" w:cs="仿宋_GB2312"/>
          <w:sz w:val="32"/>
          <w:szCs w:val="32"/>
        </w:rPr>
        <w:t>1635.18</w:t>
      </w:r>
      <w:r>
        <w:rPr>
          <w:rFonts w:ascii="仿宋_GB2312" w:eastAsia="仿宋_GB2312" w:hAnsi="仿宋_GB2312" w:cs="仿宋_GB2312" w:hint="eastAsia"/>
          <w:sz w:val="32"/>
          <w:szCs w:val="32"/>
        </w:rPr>
        <w:t>亿元,余额</w:t>
      </w:r>
      <w:r>
        <w:rPr>
          <w:rFonts w:ascii="仿宋_GB2312" w:eastAsia="仿宋_GB2312" w:hAnsi="仿宋_GB2312" w:cs="仿宋_GB2312"/>
          <w:sz w:val="32"/>
          <w:szCs w:val="32"/>
        </w:rPr>
        <w:t>1289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73</w:t>
      </w:r>
      <w:r>
        <w:rPr>
          <w:rFonts w:ascii="仿宋_GB2312" w:eastAsia="仿宋_GB2312" w:hAnsi="仿宋_GB2312" w:cs="仿宋_GB2312" w:hint="eastAsia"/>
          <w:sz w:val="32"/>
          <w:szCs w:val="32"/>
        </w:rPr>
        <w:t>亿元。</w:t>
      </w:r>
    </w:p>
    <w:p w:rsidR="00067B91" w:rsidRDefault="00067B91" w:rsidP="00067B91">
      <w:pPr>
        <w:keepNext/>
        <w:adjustRightInd w:val="0"/>
        <w:snapToGrid w:val="0"/>
        <w:spacing w:beforeLines="100" w:line="360" w:lineRule="auto"/>
        <w:jc w:val="center"/>
      </w:pPr>
      <w:r>
        <w:rPr>
          <w:noProof/>
        </w:rPr>
        <w:lastRenderedPageBreak/>
        <w:drawing>
          <wp:anchor distT="0" distB="0" distL="114300" distR="114300" simplePos="0" relativeHeight="251666432" behindDoc="0" locked="0" layoutInCell="1" allowOverlap="1">
            <wp:simplePos x="0" y="0"/>
            <wp:positionH relativeFrom="page">
              <wp:posOffset>1066800</wp:posOffset>
            </wp:positionH>
            <wp:positionV relativeFrom="page">
              <wp:posOffset>1335405</wp:posOffset>
            </wp:positionV>
            <wp:extent cx="5304790" cy="3046730"/>
            <wp:effectExtent l="0" t="0" r="0" b="0"/>
            <wp:wrapSquare wrapText="bothSides"/>
            <wp:docPr id="12"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宋体" w:hAnsi="宋体" w:cs="宋体" w:hint="eastAsia"/>
          <w:b/>
          <w:bCs/>
          <w:kern w:val="0"/>
          <w:sz w:val="30"/>
          <w:szCs w:val="30"/>
        </w:rPr>
        <w:t>图7  2017年按收入、套数、面积、年龄分贷款笔数占比</w:t>
      </w:r>
    </w:p>
    <w:p w:rsidR="00067B91" w:rsidRDefault="00067B91" w:rsidP="00067B91">
      <w:pPr>
        <w:adjustRightInd w:val="0"/>
        <w:snapToGrid w:val="0"/>
        <w:spacing w:beforeLines="150" w:line="360" w:lineRule="auto"/>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（三）职工住房消费负担减轻。</w:t>
      </w:r>
      <w:r>
        <w:rPr>
          <w:rFonts w:ascii="仿宋_GB2312" w:eastAsia="仿宋_GB2312" w:hAnsi="仿宋_GB2312" w:cs="仿宋_GB2312" w:hint="eastAsia"/>
          <w:sz w:val="32"/>
          <w:szCs w:val="32"/>
        </w:rPr>
        <w:t>2017年，住房公积金住房消费类提取占当年提取额的79.49%。</w:t>
      </w:r>
    </w:p>
    <w:p w:rsidR="00067B91" w:rsidRDefault="00067B91" w:rsidP="00067B91">
      <w:pPr>
        <w:keepNext/>
        <w:adjustRightInd w:val="0"/>
        <w:snapToGrid w:val="0"/>
        <w:spacing w:beforeLines="150" w:line="360" w:lineRule="auto"/>
        <w:jc w:val="center"/>
        <w:rPr>
          <w:rFonts w:ascii="宋体" w:hAnsi="宋体" w:cs="宋体"/>
          <w:b/>
          <w:bCs/>
          <w:kern w:val="0"/>
          <w:sz w:val="30"/>
          <w:szCs w:val="30"/>
        </w:rPr>
      </w:pPr>
      <w:r>
        <w:rPr>
          <w:rFonts w:ascii="宋体" w:hAnsi="宋体" w:cs="宋体" w:hint="eastAsia"/>
          <w:b/>
          <w:bCs/>
          <w:kern w:val="0"/>
          <w:sz w:val="30"/>
          <w:szCs w:val="30"/>
        </w:rPr>
        <w:t>图8  2017年按提取</w:t>
      </w:r>
      <w:r>
        <w:rPr>
          <w:rFonts w:ascii="宋体" w:hAnsi="宋体" w:cs="宋体"/>
          <w:b/>
          <w:bCs/>
          <w:kern w:val="0"/>
          <w:sz w:val="30"/>
          <w:szCs w:val="30"/>
        </w:rPr>
        <w:t>类型</w:t>
      </w:r>
      <w:r>
        <w:rPr>
          <w:rFonts w:ascii="宋体" w:hAnsi="宋体" w:cs="宋体" w:hint="eastAsia"/>
          <w:b/>
          <w:bCs/>
          <w:kern w:val="0"/>
          <w:sz w:val="30"/>
          <w:szCs w:val="30"/>
        </w:rPr>
        <w:t>分提取金额占比</w:t>
      </w:r>
      <w:r>
        <w:rPr>
          <w:rFonts w:ascii="宋体" w:hAnsi="宋体" w:cs="宋体"/>
          <w:b/>
          <w:bCs/>
          <w:noProof/>
          <w:kern w:val="0"/>
          <w:sz w:val="30"/>
          <w:szCs w:val="30"/>
        </w:rPr>
        <w:drawing>
          <wp:inline distT="0" distB="0" distL="0" distR="0">
            <wp:extent cx="9525" cy="9525"/>
            <wp:effectExtent l="19050" t="0" r="9525"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srcRect/>
                    <a:stretch>
                      <a:fillRect/>
                    </a:stretch>
                  </pic:blipFill>
                  <pic:spPr bwMode="auto">
                    <a:xfrm>
                      <a:off x="0" y="0"/>
                      <a:ext cx="9525" cy="9525"/>
                    </a:xfrm>
                    <a:prstGeom prst="rect">
                      <a:avLst/>
                    </a:prstGeom>
                    <a:noFill/>
                    <a:ln w="9525" cmpd="sng">
                      <a:noFill/>
                      <a:miter lim="800000"/>
                      <a:headEnd/>
                      <a:tailEnd/>
                    </a:ln>
                  </pic:spPr>
                </pic:pic>
              </a:graphicData>
            </a:graphic>
          </wp:inline>
        </w:drawing>
      </w:r>
    </w:p>
    <w:p w:rsidR="00067B91" w:rsidRDefault="00067B91" w:rsidP="00067B91">
      <w:pPr>
        <w:adjustRightInd w:val="0"/>
        <w:snapToGrid w:val="0"/>
        <w:spacing w:line="360" w:lineRule="auto"/>
        <w:ind w:firstLine="420"/>
        <w:jc w:val="center"/>
        <w:rPr>
          <w:rFonts w:ascii="仿宋_GB2312" w:eastAsia="仿宋_GB2312" w:hAnsi="仿宋_GB2312" w:cs="仿宋_GB2312" w:hint="eastAsia"/>
          <w:sz w:val="32"/>
          <w:szCs w:val="32"/>
        </w:rPr>
      </w:pPr>
      <w:r>
        <w:rPr>
          <w:noProof/>
        </w:rPr>
        <w:drawing>
          <wp:inline distT="0" distB="0" distL="0" distR="0">
            <wp:extent cx="4724400" cy="3228975"/>
            <wp:effectExtent l="0" t="0" r="0" b="0"/>
            <wp:docPr id="5"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7B91" w:rsidRDefault="00067B91" w:rsidP="00067B91">
      <w:pPr>
        <w:adjustRightInd w:val="0"/>
        <w:snapToGrid w:val="0"/>
        <w:spacing w:beforeLines="100"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lastRenderedPageBreak/>
        <w:t>住房公积金个人住房贷款利率比同期商业性个人住房贷款基准利率低</w:t>
      </w:r>
      <w:r>
        <w:rPr>
          <w:rFonts w:ascii="仿宋_GB2312" w:eastAsia="仿宋_GB2312" w:hAnsi="仿宋_GB2312" w:cs="仿宋_GB2312" w:hint="eastAsia"/>
          <w:sz w:val="32"/>
          <w:szCs w:val="32"/>
        </w:rPr>
        <w:t>1.65—</w:t>
      </w:r>
      <w:r>
        <w:rPr>
          <w:rFonts w:ascii="仿宋_GB2312" w:eastAsia="仿宋_GB2312" w:hAnsi="仿宋_GB2312" w:cs="仿宋_GB2312" w:hint="eastAsia"/>
          <w:kern w:val="0"/>
          <w:sz w:val="32"/>
          <w:szCs w:val="32"/>
        </w:rPr>
        <w:t>2个</w:t>
      </w:r>
      <w:r>
        <w:rPr>
          <w:rFonts w:ascii="仿宋_GB2312" w:eastAsia="仿宋_GB2312" w:hAnsi="仿宋_GB2312" w:cs="仿宋_GB2312" w:hint="eastAsia"/>
          <w:sz w:val="32"/>
          <w:szCs w:val="32"/>
        </w:rPr>
        <w:t>百分点</w:t>
      </w:r>
      <w:r>
        <w:rPr>
          <w:rFonts w:ascii="仿宋_GB2312" w:eastAsia="仿宋_GB2312" w:hAnsi="仿宋_GB2312" w:cs="仿宋_GB2312" w:hint="eastAsia"/>
          <w:kern w:val="0"/>
          <w:sz w:val="32"/>
          <w:szCs w:val="32"/>
        </w:rPr>
        <w:t>，2017年发放的住房公积金个人住房贷款，可为贷款职工节约利息</w:t>
      </w:r>
      <w:r>
        <w:rPr>
          <w:rFonts w:ascii="仿宋_GB2312" w:eastAsia="仿宋_GB2312" w:hAnsi="仿宋_GB2312" w:cs="仿宋_GB2312" w:hint="eastAsia"/>
          <w:kern w:val="0"/>
          <w:sz w:val="32"/>
          <w:szCs w:val="24"/>
          <w:vertAlign w:val="superscript"/>
        </w:rPr>
        <w:t>[11]</w:t>
      </w:r>
      <w:r>
        <w:rPr>
          <w:rFonts w:ascii="仿宋_GB2312" w:eastAsia="仿宋_GB2312" w:hAnsi="仿宋_GB2312" w:cs="仿宋_GB2312" w:hint="eastAsia"/>
          <w:kern w:val="0"/>
          <w:sz w:val="32"/>
          <w:szCs w:val="24"/>
        </w:rPr>
        <w:t>支出</w:t>
      </w:r>
      <w:r>
        <w:rPr>
          <w:rFonts w:ascii="仿宋_GB2312" w:eastAsia="仿宋_GB2312" w:hAnsi="仿宋_GB2312" w:cs="仿宋_GB2312" w:hint="eastAsia"/>
          <w:kern w:val="0"/>
          <w:sz w:val="32"/>
          <w:szCs w:val="32"/>
        </w:rPr>
        <w:t>1944.70亿元，</w:t>
      </w:r>
      <w:r>
        <w:rPr>
          <w:rFonts w:ascii="仿宋_GB2312" w:eastAsia="仿宋_GB2312" w:hAnsi="仿宋_GB2312" w:cs="仿宋_GB2312" w:hint="eastAsia"/>
          <w:sz w:val="32"/>
          <w:szCs w:val="32"/>
        </w:rPr>
        <w:t>平均每笔贷款可节约利息支出7.63万元。</w:t>
      </w:r>
    </w:p>
    <w:p w:rsidR="00067B91" w:rsidRDefault="00067B91" w:rsidP="00067B91">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2017年，发放公转商贴息贷款</w:t>
      </w:r>
      <w:r>
        <w:rPr>
          <w:rFonts w:ascii="仿宋_GB2312" w:eastAsia="仿宋_GB2312" w:hAnsi="仿宋_GB2312" w:cs="仿宋_GB2312" w:hint="eastAsia"/>
          <w:kern w:val="0"/>
          <w:sz w:val="32"/>
          <w:szCs w:val="24"/>
          <w:vertAlign w:val="superscript"/>
        </w:rPr>
        <w:t>[12]</w:t>
      </w:r>
      <w:r>
        <w:rPr>
          <w:rFonts w:ascii="仿宋_GB2312" w:eastAsia="仿宋_GB2312" w:hAnsi="仿宋_GB2312" w:cs="仿宋_GB2312" w:hint="eastAsia"/>
          <w:sz w:val="32"/>
          <w:szCs w:val="32"/>
        </w:rPr>
        <w:t>13.48万笔、</w:t>
      </w:r>
      <w:r>
        <w:rPr>
          <w:rFonts w:ascii="仿宋_GB2312" w:eastAsia="仿宋_GB2312" w:hAnsi="仿宋_GB2312" w:cs="仿宋_GB2312"/>
          <w:sz w:val="32"/>
          <w:szCs w:val="32"/>
        </w:rPr>
        <w:t>604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亿元，当年贴息</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86</w:t>
      </w:r>
      <w:r>
        <w:rPr>
          <w:rFonts w:ascii="仿宋_GB2312" w:eastAsia="仿宋_GB2312" w:hAnsi="仿宋_GB2312" w:cs="仿宋_GB2312" w:hint="eastAsia"/>
          <w:sz w:val="32"/>
          <w:szCs w:val="32"/>
        </w:rPr>
        <w:t>亿元。2017年末，累计发放公转商贴息贷款51.41万笔、</w:t>
      </w:r>
      <w:r>
        <w:rPr>
          <w:rFonts w:ascii="仿宋_GB2312" w:eastAsia="仿宋_GB2312" w:hAnsi="仿宋_GB2312" w:cs="仿宋_GB2312"/>
          <w:sz w:val="32"/>
          <w:szCs w:val="32"/>
        </w:rPr>
        <w:t>2166</w:t>
      </w:r>
      <w:r>
        <w:rPr>
          <w:rFonts w:ascii="仿宋_GB2312" w:eastAsia="仿宋_GB2312" w:hAnsi="仿宋_GB2312" w:cs="仿宋_GB2312" w:hint="eastAsia"/>
          <w:sz w:val="32"/>
          <w:szCs w:val="32"/>
        </w:rPr>
        <w:t>.00亿元，累计贴息</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4亿元。</w:t>
      </w:r>
    </w:p>
    <w:p w:rsidR="00067B91" w:rsidRDefault="00067B91" w:rsidP="00067B91">
      <w:pPr>
        <w:adjustRightInd w:val="0"/>
        <w:snapToGrid w:val="0"/>
        <w:spacing w:line="360" w:lineRule="auto"/>
        <w:ind w:leftChars="-50" w:left="-105"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（四）促进房地产市场平稳健康发展。</w:t>
      </w:r>
      <w:r>
        <w:rPr>
          <w:rFonts w:ascii="仿宋_GB2312" w:eastAsia="仿宋_GB2312" w:hAnsi="仿宋_GB2312" w:cs="仿宋_GB2312" w:hint="eastAsia"/>
          <w:sz w:val="32"/>
          <w:szCs w:val="32"/>
        </w:rPr>
        <w:t>2017年，住房公积金住房消费类提取、发放个人住房贷款和公转商贴息贷款共20258.15亿元，占全国商品住宅销售额的18.38%；支持职工购建住房面积</w:t>
      </w:r>
      <w:r>
        <w:rPr>
          <w:rFonts w:ascii="仿宋_GB2312" w:eastAsia="仿宋_GB2312" w:hAnsi="仿宋_GB2312" w:cs="仿宋_GB2312" w:hint="eastAsia"/>
          <w:sz w:val="32"/>
          <w:szCs w:val="32"/>
          <w:vertAlign w:val="superscript"/>
        </w:rPr>
        <w:t xml:space="preserve">[13] </w:t>
      </w:r>
      <w:r>
        <w:rPr>
          <w:rFonts w:ascii="仿宋_GB2312" w:eastAsia="仿宋_GB2312" w:hAnsi="仿宋_GB2312" w:cs="仿宋_GB2312" w:hint="eastAsia"/>
          <w:sz w:val="32"/>
          <w:szCs w:val="32"/>
        </w:rPr>
        <w:t>3.15亿平方米，占全国商品住宅销售面积的21.76%。</w:t>
      </w:r>
    </w:p>
    <w:p w:rsidR="00067B91" w:rsidRDefault="00067B91" w:rsidP="00067B91">
      <w:pPr>
        <w:adjustRightInd w:val="0"/>
        <w:snapToGrid w:val="0"/>
        <w:spacing w:line="360" w:lineRule="auto"/>
        <w:ind w:leftChars="-50" w:left="-105"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bCs/>
          <w:kern w:val="0"/>
          <w:sz w:val="32"/>
          <w:szCs w:val="32"/>
        </w:rPr>
        <w:t>2017年末，住房公积金个人住房贷款率87.2</w:t>
      </w:r>
      <w:r>
        <w:rPr>
          <w:rFonts w:ascii="仿宋_GB2312" w:eastAsia="仿宋_GB2312" w:hAnsi="仿宋_GB2312" w:cs="仿宋_GB2312"/>
          <w:bCs/>
          <w:kern w:val="0"/>
          <w:sz w:val="32"/>
          <w:szCs w:val="32"/>
        </w:rPr>
        <w:t>7</w:t>
      </w:r>
      <w:r>
        <w:rPr>
          <w:rFonts w:ascii="仿宋_GB2312" w:eastAsia="仿宋_GB2312" w:hAnsi="仿宋_GB2312" w:cs="仿宋_GB2312" w:hint="eastAsia"/>
          <w:bCs/>
          <w:kern w:val="0"/>
          <w:sz w:val="32"/>
          <w:szCs w:val="32"/>
        </w:rPr>
        <w:t>%，比上年回落1.5</w:t>
      </w:r>
      <w:r>
        <w:rPr>
          <w:rFonts w:ascii="仿宋_GB2312" w:eastAsia="仿宋_GB2312" w:hAnsi="仿宋_GB2312" w:cs="仿宋_GB2312"/>
          <w:bCs/>
          <w:kern w:val="0"/>
          <w:sz w:val="32"/>
          <w:szCs w:val="32"/>
        </w:rPr>
        <w:t>7</w:t>
      </w:r>
      <w:r>
        <w:rPr>
          <w:rFonts w:ascii="仿宋_GB2312" w:eastAsia="仿宋_GB2312" w:hAnsi="仿宋_GB2312" w:cs="仿宋_GB2312" w:hint="eastAsia"/>
          <w:bCs/>
          <w:kern w:val="0"/>
          <w:sz w:val="32"/>
          <w:szCs w:val="32"/>
        </w:rPr>
        <w:t>个百分点；</w:t>
      </w:r>
      <w:r>
        <w:rPr>
          <w:rFonts w:ascii="仿宋_GB2312" w:eastAsia="仿宋_GB2312" w:hAnsi="仿宋_GB2312" w:cs="仿宋_GB2312" w:hint="eastAsia"/>
          <w:kern w:val="0"/>
          <w:sz w:val="32"/>
          <w:szCs w:val="32"/>
        </w:rPr>
        <w:t>个人住房贷款市场占有率</w:t>
      </w:r>
      <w:r>
        <w:rPr>
          <w:rFonts w:ascii="仿宋_GB2312" w:eastAsia="仿宋_GB2312" w:hAnsi="仿宋_GB2312" w:cs="仿宋_GB2312" w:hint="eastAsia"/>
          <w:kern w:val="0"/>
          <w:sz w:val="32"/>
          <w:szCs w:val="24"/>
          <w:vertAlign w:val="superscript"/>
        </w:rPr>
        <w:t>[14]</w:t>
      </w:r>
      <w:r>
        <w:rPr>
          <w:rFonts w:ascii="仿宋_GB2312" w:eastAsia="仿宋_GB2312" w:hAnsi="仿宋_GB2312" w:cs="仿宋_GB2312" w:hint="eastAsia"/>
          <w:kern w:val="0"/>
          <w:sz w:val="32"/>
          <w:szCs w:val="32"/>
        </w:rPr>
        <w:t>17.06%。</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（五）支持保障性住房建设。</w:t>
      </w:r>
      <w:r>
        <w:rPr>
          <w:rFonts w:ascii="仿宋_GB2312" w:eastAsia="仿宋_GB2312" w:hAnsi="仿宋_GB2312" w:cs="仿宋_GB2312" w:hint="eastAsia"/>
          <w:bCs/>
          <w:sz w:val="32"/>
          <w:szCs w:val="32"/>
        </w:rPr>
        <w:t>2017年，提取城市公共租赁住房（廉租住房）建设补充资金占当年增值收益的59.</w:t>
      </w:r>
      <w:r>
        <w:rPr>
          <w:rFonts w:ascii="仿宋_GB2312" w:eastAsia="仿宋_GB2312" w:hAnsi="仿宋_GB2312" w:cs="仿宋_GB2312"/>
          <w:bCs/>
          <w:sz w:val="32"/>
          <w:szCs w:val="32"/>
        </w:rPr>
        <w:t>43</w:t>
      </w:r>
      <w:r>
        <w:rPr>
          <w:rFonts w:ascii="仿宋_GB2312" w:eastAsia="仿宋_GB2312" w:hAnsi="仿宋_GB2312" w:cs="仿宋_GB2312" w:hint="eastAsia"/>
          <w:bCs/>
          <w:sz w:val="32"/>
          <w:szCs w:val="32"/>
        </w:rPr>
        <w:t>%。2017年末，累计为城市公共租赁住房（廉租住房）建设提供补充资金2</w:t>
      </w:r>
      <w:r>
        <w:rPr>
          <w:rFonts w:ascii="仿宋_GB2312" w:eastAsia="仿宋_GB2312" w:hAnsi="仿宋_GB2312" w:cs="仿宋_GB2312"/>
          <w:bCs/>
          <w:sz w:val="32"/>
          <w:szCs w:val="32"/>
        </w:rPr>
        <w:t>904.59</w:t>
      </w:r>
      <w:r>
        <w:rPr>
          <w:rFonts w:ascii="仿宋_GB2312" w:eastAsia="仿宋_GB2312" w:hAnsi="仿宋_GB2312" w:cs="仿宋_GB2312" w:hint="eastAsia"/>
          <w:bCs/>
          <w:sz w:val="32"/>
          <w:szCs w:val="32"/>
        </w:rPr>
        <w:t>亿元。</w:t>
      </w:r>
    </w:p>
    <w:p w:rsidR="00067B91" w:rsidRDefault="00067B91" w:rsidP="00067B91">
      <w:pPr>
        <w:keepNext/>
        <w:adjustRightInd w:val="0"/>
        <w:snapToGrid w:val="0"/>
        <w:spacing w:beforeLines="100" w:line="360" w:lineRule="auto"/>
        <w:jc w:val="center"/>
        <w:rPr>
          <w:rFonts w:ascii="宋体" w:hAnsi="宋体" w:cs="宋体"/>
          <w:b/>
          <w:bCs/>
          <w:kern w:val="0"/>
          <w:sz w:val="30"/>
          <w:szCs w:val="30"/>
        </w:rPr>
      </w:pPr>
      <w:r>
        <w:rPr>
          <w:rFonts w:ascii="宋体" w:hAnsi="宋体" w:cs="宋体" w:hint="eastAsia"/>
          <w:b/>
          <w:bCs/>
          <w:kern w:val="0"/>
          <w:sz w:val="30"/>
          <w:szCs w:val="30"/>
        </w:rPr>
        <w:lastRenderedPageBreak/>
        <w:t>图9  2013—2017年增值收益分配占比</w:t>
      </w:r>
      <w:r>
        <w:rPr>
          <w:rFonts w:ascii="宋体" w:hAnsi="宋体" w:cs="宋体"/>
          <w:b/>
          <w:bCs/>
          <w:noProof/>
          <w:kern w:val="0"/>
          <w:sz w:val="30"/>
          <w:szCs w:val="30"/>
        </w:rPr>
        <w:drawing>
          <wp:inline distT="0" distB="0" distL="0" distR="0">
            <wp:extent cx="9525" cy="952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srcRect/>
                    <a:stretch>
                      <a:fillRect/>
                    </a:stretch>
                  </pic:blipFill>
                  <pic:spPr bwMode="auto">
                    <a:xfrm>
                      <a:off x="0" y="0"/>
                      <a:ext cx="9525" cy="9525"/>
                    </a:xfrm>
                    <a:prstGeom prst="rect">
                      <a:avLst/>
                    </a:prstGeom>
                    <a:noFill/>
                    <a:ln w="9525" cmpd="sng">
                      <a:noFill/>
                      <a:miter lim="800000"/>
                      <a:headEnd/>
                      <a:tailEnd/>
                    </a:ln>
                  </pic:spPr>
                </pic:pic>
              </a:graphicData>
            </a:graphic>
          </wp:inline>
        </w:drawing>
      </w:r>
    </w:p>
    <w:p w:rsidR="00067B91" w:rsidRDefault="00067B91" w:rsidP="00067B91">
      <w:pPr>
        <w:spacing w:line="360" w:lineRule="auto"/>
        <w:rPr>
          <w:rFonts w:ascii="黑体" w:eastAsia="黑体" w:hAnsi="黑体" w:cs="黑体" w:hint="eastAsia"/>
          <w:bCs/>
          <w:sz w:val="32"/>
          <w:szCs w:val="32"/>
        </w:rPr>
      </w:pPr>
      <w:r>
        <w:rPr>
          <w:noProof/>
        </w:rPr>
        <w:drawing>
          <wp:inline distT="0" distB="0" distL="0" distR="0">
            <wp:extent cx="5124450" cy="2857500"/>
            <wp:effectExtent l="19050" t="0" r="0" b="0"/>
            <wp:docPr id="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5"/>
                    <a:srcRect/>
                    <a:stretch>
                      <a:fillRect/>
                    </a:stretch>
                  </pic:blipFill>
                  <pic:spPr bwMode="auto">
                    <a:xfrm>
                      <a:off x="0" y="0"/>
                      <a:ext cx="5124450" cy="2857500"/>
                    </a:xfrm>
                    <a:prstGeom prst="rect">
                      <a:avLst/>
                    </a:prstGeom>
                    <a:noFill/>
                    <a:ln w="9525" cmpd="sng">
                      <a:noFill/>
                      <a:miter lim="800000"/>
                      <a:headEnd/>
                      <a:tailEnd/>
                    </a:ln>
                    <a:effectLst/>
                  </pic:spPr>
                </pic:pic>
              </a:graphicData>
            </a:graphic>
          </wp:inline>
        </w:drawing>
      </w:r>
    </w:p>
    <w:p w:rsidR="00067B91" w:rsidRDefault="00067B91" w:rsidP="00067B91">
      <w:pPr>
        <w:adjustRightInd w:val="0"/>
        <w:snapToGrid w:val="0"/>
        <w:spacing w:beforeLines="100" w:line="360" w:lineRule="auto"/>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2017年末，累计为373个保障性住房建设项目提供贷款871.69亿元，支持建设保障性住房7127.28万平方米，可以解决约120万户职工家庭住房困难。</w:t>
      </w:r>
    </w:p>
    <w:p w:rsidR="00067B91" w:rsidRDefault="00067B91" w:rsidP="00067B91">
      <w:pPr>
        <w:adjustRightInd w:val="0"/>
        <w:snapToGrid w:val="0"/>
        <w:spacing w:beforeLines="50" w:line="360" w:lineRule="auto"/>
        <w:ind w:firstLineChars="200" w:firstLine="640"/>
        <w:rPr>
          <w:rFonts w:ascii="黑体" w:eastAsia="黑体" w:hAnsi="黑体" w:cs="黑体" w:hint="eastAsia"/>
          <w:bCs/>
          <w:sz w:val="32"/>
          <w:szCs w:val="32"/>
        </w:rPr>
      </w:pPr>
      <w:r>
        <w:rPr>
          <w:rFonts w:ascii="黑体" w:eastAsia="黑体" w:hAnsi="黑体" w:cs="黑体" w:hint="eastAsia"/>
          <w:bCs/>
          <w:sz w:val="32"/>
          <w:szCs w:val="32"/>
        </w:rPr>
        <w:t xml:space="preserve">六、其他重要事项 </w:t>
      </w:r>
    </w:p>
    <w:p w:rsidR="00067B91" w:rsidRDefault="00067B91" w:rsidP="00067B91">
      <w:pPr>
        <w:spacing w:line="360" w:lineRule="auto"/>
        <w:ind w:firstLine="640"/>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（一）维护职工贷款权益。</w:t>
      </w:r>
      <w:r>
        <w:rPr>
          <w:rFonts w:ascii="仿宋_GB2312" w:eastAsia="仿宋_GB2312" w:hAnsi="仿宋_GB2312" w:cs="仿宋_GB2312" w:hint="eastAsia"/>
          <w:bCs/>
          <w:sz w:val="32"/>
          <w:szCs w:val="32"/>
        </w:rPr>
        <w:t>2017年，住房城乡建设部、财政部、人民银行、原国土资源部联合印发</w:t>
      </w:r>
      <w:r>
        <w:rPr>
          <w:rFonts w:ascii="仿宋_GB2312" w:eastAsia="仿宋_GB2312" w:hAnsi="仿宋_GB2312" w:cs="仿宋_GB2312" w:hint="eastAsia"/>
          <w:bCs/>
          <w:kern w:val="0"/>
          <w:sz w:val="32"/>
          <w:szCs w:val="32"/>
        </w:rPr>
        <w:t>《关于维护住房公积金缴存职工购房贷款权益的通知》（建金〔2017〕246号）</w:t>
      </w:r>
      <w:r>
        <w:rPr>
          <w:rFonts w:ascii="仿宋_GB2312" w:eastAsia="仿宋_GB2312" w:hAnsi="仿宋_GB2312" w:cs="仿宋_GB2312" w:hint="eastAsia"/>
          <w:bCs/>
          <w:sz w:val="32"/>
          <w:szCs w:val="32"/>
        </w:rPr>
        <w:t>，明确房地产开发企业不得拒绝缴存职工使用住房公积金贷款购房，并加大联合惩戒力度。各地积极开展专项整治活动，维护缴存职工住房公积金贷款的合法权益。</w:t>
      </w:r>
    </w:p>
    <w:p w:rsidR="00067B91" w:rsidRDefault="00067B91" w:rsidP="00067B91">
      <w:pPr>
        <w:spacing w:line="360" w:lineRule="auto"/>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（二）规范业务管理。</w:t>
      </w:r>
      <w:r>
        <w:rPr>
          <w:rFonts w:ascii="仿宋_GB2312" w:eastAsia="仿宋_GB2312" w:hAnsi="仿宋_GB2312" w:cs="仿宋_GB2312" w:hint="eastAsia"/>
          <w:kern w:val="0"/>
          <w:sz w:val="32"/>
          <w:szCs w:val="32"/>
        </w:rPr>
        <w:t>编制归集、提取、贷款、资金管理等住房公积金业务标准，2017年，住房城乡建设部、原质检总局联合发布</w:t>
      </w:r>
      <w:r>
        <w:rPr>
          <w:rFonts w:ascii="仿宋_GB2312" w:eastAsia="仿宋_GB2312" w:hAnsi="仿宋_GB2312" w:cs="仿宋_GB2312" w:hint="eastAsia"/>
          <w:bCs/>
          <w:kern w:val="0"/>
          <w:sz w:val="32"/>
          <w:szCs w:val="32"/>
        </w:rPr>
        <w:t>《住房公积金个人住房贷款业务规范》</w:t>
      </w:r>
      <w:r>
        <w:rPr>
          <w:rFonts w:ascii="仿宋_GB2312" w:eastAsia="仿宋_GB2312" w:hAnsi="仿宋_GB2312" w:cs="仿宋_GB2312" w:hint="eastAsia"/>
          <w:bCs/>
          <w:kern w:val="0"/>
          <w:sz w:val="32"/>
          <w:szCs w:val="32"/>
        </w:rPr>
        <w:lastRenderedPageBreak/>
        <w:t>（GB/T51267-2017）、</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kern w:val="0"/>
          <w:sz w:val="32"/>
          <w:szCs w:val="32"/>
        </w:rPr>
        <w:t>住房公积金归集业务标准</w:t>
      </w:r>
      <w:r>
        <w:rPr>
          <w:rFonts w:ascii="仿宋_GB2312" w:eastAsia="仿宋_GB2312" w:hAnsi="仿宋_GB2312" w:cs="仿宋_GB2312" w:hint="eastAsia"/>
          <w:kern w:val="0"/>
          <w:sz w:val="32"/>
          <w:szCs w:val="32"/>
        </w:rPr>
        <w:t>》（GB/T51271-2017）</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kern w:val="0"/>
          <w:sz w:val="32"/>
          <w:szCs w:val="32"/>
        </w:rPr>
        <w:t>全国住房公积金业务规范体系初步形成。</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（三）强化流动性管理。</w:t>
      </w:r>
      <w:r>
        <w:rPr>
          <w:rFonts w:ascii="仿宋_GB2312" w:eastAsia="仿宋_GB2312" w:hAnsi="仿宋_GB2312" w:cs="仿宋_GB2312" w:hint="eastAsia"/>
          <w:bCs/>
          <w:kern w:val="0"/>
          <w:sz w:val="32"/>
          <w:szCs w:val="32"/>
        </w:rPr>
        <w:t>指导地方根据当地房地产市场发展状况和住房公积金流动性情况，适时调整住房公积金使用政策</w:t>
      </w:r>
      <w:r>
        <w:rPr>
          <w:rFonts w:ascii="仿宋_GB2312" w:eastAsia="仿宋_GB2312" w:hAnsi="仿宋_GB2312" w:cs="仿宋_GB2312" w:hint="eastAsia"/>
          <w:bCs/>
          <w:sz w:val="32"/>
          <w:szCs w:val="32"/>
        </w:rPr>
        <w:t xml:space="preserve">，住房公积金个人住房贷款率超过100%的省（区、市）由2016年底的8个减少到2017年底的3个。2017年，通过公转商贴息贷款等渠道拓展资金规模906.80亿元，用于支持职工住房消费。 </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bCs/>
          <w:color w:val="FF0000"/>
          <w:sz w:val="32"/>
          <w:szCs w:val="32"/>
        </w:rPr>
      </w:pPr>
      <w:r>
        <w:rPr>
          <w:rFonts w:ascii="仿宋_GB2312" w:eastAsia="仿宋_GB2312" w:hAnsi="仿宋_GB2312" w:cs="仿宋_GB2312" w:hint="eastAsia"/>
          <w:b/>
          <w:sz w:val="32"/>
          <w:szCs w:val="32"/>
        </w:rPr>
        <w:t>（四）加快信息化建设。</w:t>
      </w:r>
      <w:r>
        <w:rPr>
          <w:rFonts w:ascii="仿宋_GB2312" w:eastAsia="仿宋_GB2312" w:hAnsi="仿宋_GB2312" w:cs="仿宋_GB2312" w:hint="eastAsia"/>
          <w:bCs/>
          <w:sz w:val="32"/>
          <w:szCs w:val="32"/>
        </w:rPr>
        <w:t>2017年末，366个住房公积金中心、分中心完成</w:t>
      </w:r>
      <w:r>
        <w:rPr>
          <w:rFonts w:ascii="仿宋_GB2312" w:eastAsia="仿宋_GB2312" w:hAnsi="仿宋_GB2312" w:cs="仿宋_GB2312" w:hint="eastAsia"/>
          <w:sz w:val="32"/>
          <w:szCs w:val="32"/>
        </w:rPr>
        <w:t>住房公积金基础数据标准贯彻和住房公积金结算应用系统接入工作</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2017年，通过结算应用系统完成资金结算交易619万笔，交易金额6746亿元，住房公积金资金、业务和财务明细信息实现实时关联匹配，资金管控能力全面增强，财务管理效率大幅提高，服务水平全面提升。</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bCs/>
          <w:kern w:val="0"/>
          <w:sz w:val="32"/>
          <w:szCs w:val="32"/>
        </w:rPr>
      </w:pPr>
      <w:r>
        <w:rPr>
          <w:rFonts w:ascii="仿宋_GB2312" w:eastAsia="仿宋_GB2312" w:hAnsi="仿宋_GB2312" w:cs="仿宋_GB2312" w:hint="eastAsia"/>
          <w:b/>
          <w:sz w:val="32"/>
          <w:szCs w:val="32"/>
        </w:rPr>
        <w:t>（五）</w:t>
      </w:r>
      <w:r>
        <w:rPr>
          <w:rFonts w:ascii="仿宋_GB2312" w:eastAsia="仿宋_GB2312" w:hAnsi="仿宋_GB2312" w:cs="仿宋_GB2312" w:hint="eastAsia"/>
          <w:b/>
          <w:kern w:val="0"/>
          <w:sz w:val="32"/>
          <w:szCs w:val="32"/>
        </w:rPr>
        <w:t>推进综合服务平台建设。</w:t>
      </w:r>
      <w:r>
        <w:rPr>
          <w:rFonts w:ascii="仿宋_GB2312" w:eastAsia="仿宋_GB2312" w:hAnsi="仿宋_GB2312" w:cs="仿宋_GB2312" w:hint="eastAsia"/>
          <w:bCs/>
          <w:kern w:val="0"/>
          <w:sz w:val="32"/>
          <w:szCs w:val="32"/>
        </w:rPr>
        <w:t>为使缴存单位和缴存职工能更方便的通过信息化渠道办理各项住房公积金业务，提高业务办理效率，全国342个设区城市中，有105个城市基本建成包含全部8种服务渠道的综合服务平台，其他城市也建成部分服务渠道。其中：开通门户网站的城市有295个、使用12329服务热线的城市有313个、建成网上业务大厅的城市有161个、设置自助终端服务的城市有233个、开通官</w:t>
      </w:r>
      <w:r>
        <w:rPr>
          <w:rFonts w:ascii="仿宋_GB2312" w:eastAsia="仿宋_GB2312" w:hAnsi="仿宋_GB2312" w:cs="仿宋_GB2312" w:hint="eastAsia"/>
          <w:bCs/>
          <w:kern w:val="0"/>
          <w:sz w:val="32"/>
          <w:szCs w:val="32"/>
        </w:rPr>
        <w:lastRenderedPageBreak/>
        <w:t>方微信的城市有241个、上线手机客户端的城市有128个。</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bCs/>
          <w:kern w:val="0"/>
          <w:sz w:val="32"/>
          <w:szCs w:val="32"/>
        </w:rPr>
      </w:pPr>
      <w:r>
        <w:rPr>
          <w:rFonts w:ascii="仿宋_GB2312" w:eastAsia="仿宋_GB2312" w:hAnsi="仿宋_GB2312" w:cs="仿宋_GB2312" w:hint="eastAsia"/>
          <w:b/>
          <w:kern w:val="0"/>
          <w:sz w:val="32"/>
          <w:szCs w:val="32"/>
        </w:rPr>
        <w:t>（六）</w:t>
      </w:r>
      <w:r>
        <w:rPr>
          <w:rFonts w:ascii="仿宋_GB2312" w:eastAsia="仿宋_GB2312" w:hAnsi="仿宋_GB2312" w:cs="仿宋_GB2312" w:hint="eastAsia"/>
          <w:b/>
          <w:sz w:val="32"/>
          <w:szCs w:val="32"/>
        </w:rPr>
        <w:t>开通转移接续平台。</w:t>
      </w:r>
      <w:r>
        <w:rPr>
          <w:rFonts w:ascii="仿宋_GB2312" w:eastAsia="仿宋_GB2312" w:hAnsi="仿宋_GB2312" w:cs="仿宋_GB2312" w:hint="eastAsia"/>
          <w:sz w:val="32"/>
          <w:szCs w:val="32"/>
        </w:rPr>
        <w:t>为方便缴存职工跨区域就业，2017年7月建成并开通全国住房公积金转移接续平台，让数据多跑路，让群众少跑腿，实现“账随人走，钱随账走”。截至2017年末，各地通过平台共办结住房公积金转移接续业务19万笔、54.1亿元。</w:t>
      </w:r>
    </w:p>
    <w:p w:rsidR="00067B91" w:rsidRDefault="00067B91" w:rsidP="00067B91">
      <w:pPr>
        <w:adjustRightInd w:val="0"/>
        <w:snapToGrid w:val="0"/>
        <w:spacing w:line="360" w:lineRule="auto"/>
        <w:ind w:firstLineChars="200" w:firstLine="643"/>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（七）落实港澳台同胞住房公积金待遇。</w:t>
      </w:r>
      <w:r>
        <w:rPr>
          <w:rFonts w:ascii="仿宋_GB2312" w:eastAsia="仿宋_GB2312" w:hAnsi="仿宋_GB2312" w:cs="仿宋_GB2312" w:hint="eastAsia"/>
          <w:bCs/>
          <w:kern w:val="0"/>
          <w:sz w:val="32"/>
          <w:szCs w:val="32"/>
        </w:rPr>
        <w:t>会同财政部、人民银行、国务院港澳办、国务院台办印发《关于在内地（大陆）就业的港澳台同胞享有住房公积金待遇有关问题的意见》（建金〔2017〕237号），明确在内地（大陆）就业的港澳台同胞均可按照《住房公积金管理条例》和相关政策规定缴存住房公积金，并享有同等使用权利。</w:t>
      </w:r>
    </w:p>
    <w:p w:rsidR="00067B91" w:rsidRDefault="00067B91" w:rsidP="00067B91">
      <w:pPr>
        <w:spacing w:line="360" w:lineRule="auto"/>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kern w:val="0"/>
          <w:sz w:val="32"/>
          <w:szCs w:val="32"/>
        </w:rPr>
        <w:t>（八）</w:t>
      </w:r>
      <w:r>
        <w:rPr>
          <w:rFonts w:ascii="仿宋_GB2312" w:eastAsia="仿宋_GB2312" w:hAnsi="仿宋_GB2312" w:cs="仿宋_GB2312" w:hint="eastAsia"/>
          <w:b/>
          <w:sz w:val="32"/>
          <w:szCs w:val="32"/>
        </w:rPr>
        <w:t>加强精神文明建设。</w:t>
      </w:r>
      <w:r>
        <w:rPr>
          <w:rFonts w:ascii="仿宋_GB2312" w:eastAsia="仿宋_GB2312" w:hAnsi="仿宋_GB2312" w:cs="仿宋_GB2312" w:hint="eastAsia"/>
          <w:bCs/>
          <w:sz w:val="32"/>
          <w:szCs w:val="32"/>
        </w:rPr>
        <w:t>2017年，全行业创建地市级以上文明单位（行业、窗口）280个，青年文明号129个，工人先锋号21个，五一劳动奖章（劳动模范）24个，三八红旗手（巾帼文明岗）86个，先进集体和个人886个，其他荣誉称号354个。</w:t>
      </w:r>
    </w:p>
    <w:p w:rsidR="00067B91" w:rsidRDefault="00067B91" w:rsidP="00067B91">
      <w:pPr>
        <w:adjustRightInd w:val="0"/>
        <w:snapToGrid w:val="0"/>
        <w:spacing w:line="360" w:lineRule="auto"/>
        <w:ind w:firstLine="420"/>
        <w:rPr>
          <w:rFonts w:ascii="仿宋" w:eastAsia="仿宋" w:hAnsi="仿宋" w:cs="仿宋_GB2312"/>
          <w:b/>
          <w:sz w:val="32"/>
          <w:szCs w:val="32"/>
        </w:rPr>
      </w:pPr>
    </w:p>
    <w:p w:rsidR="00067B91" w:rsidRDefault="00067B91" w:rsidP="00067B91">
      <w:pPr>
        <w:jc w:val="left"/>
        <w:rPr>
          <w:rFonts w:ascii="楷体_GB2312" w:eastAsia="楷体_GB2312" w:hAnsi="楷体_GB2312" w:cs="楷体_GB2312" w:hint="eastAsia"/>
          <w:b/>
          <w:sz w:val="30"/>
          <w:szCs w:val="30"/>
        </w:rPr>
      </w:pPr>
      <w:r>
        <w:rPr>
          <w:rFonts w:ascii="仿宋" w:eastAsia="仿宋" w:hAnsi="仿宋" w:cs="仿宋_GB2312"/>
          <w:b/>
          <w:sz w:val="32"/>
          <w:szCs w:val="32"/>
        </w:rPr>
        <w:br w:type="page"/>
      </w:r>
      <w:r>
        <w:rPr>
          <w:rFonts w:ascii="楷体_GB2312" w:eastAsia="楷体_GB2312" w:hAnsi="楷体_GB2312" w:cs="楷体_GB2312" w:hint="eastAsia"/>
          <w:b/>
          <w:bCs/>
          <w:kern w:val="0"/>
          <w:sz w:val="30"/>
          <w:szCs w:val="30"/>
        </w:rPr>
        <w:lastRenderedPageBreak/>
        <w:t>注释：</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[1]本报告数据取自各省（区、市）披露的住房公积金年度报告、全国住房公积金统计信息系统及各地报送的数据，对各省（区、市）年度报告中的部分数据进行了修正。指标口径按《住房城乡建设部 财政部 中国人民银行关于健全住房公积金信息披露制度的通知》（建金</w:t>
      </w:r>
      <w:r>
        <w:rPr>
          <w:rFonts w:ascii="仿宋" w:eastAsia="仿宋" w:hAnsi="仿宋" w:cs="仿宋" w:hint="eastAsia"/>
          <w:bCs/>
          <w:kern w:val="0"/>
          <w:sz w:val="30"/>
          <w:szCs w:val="30"/>
        </w:rPr>
        <w:t>〔</w:t>
      </w:r>
      <w:r>
        <w:rPr>
          <w:rFonts w:ascii="楷体_GB2312" w:eastAsia="楷体_GB2312" w:hAnsi="楷体_GB2312" w:cs="楷体_GB2312" w:hint="eastAsia"/>
          <w:bCs/>
          <w:kern w:val="0"/>
          <w:sz w:val="30"/>
          <w:szCs w:val="30"/>
        </w:rPr>
        <w:t>2015</w:t>
      </w:r>
      <w:r>
        <w:rPr>
          <w:rFonts w:ascii="仿宋" w:eastAsia="仿宋" w:hAnsi="仿宋" w:cs="仿宋" w:hint="eastAsia"/>
          <w:bCs/>
          <w:kern w:val="0"/>
          <w:sz w:val="30"/>
          <w:szCs w:val="30"/>
        </w:rPr>
        <w:t>〕</w:t>
      </w:r>
      <w:r>
        <w:rPr>
          <w:rFonts w:ascii="楷体_GB2312" w:eastAsia="楷体_GB2312" w:hAnsi="楷体_GB2312" w:cs="楷体_GB2312" w:hint="eastAsia"/>
          <w:bCs/>
          <w:kern w:val="0"/>
          <w:sz w:val="30"/>
          <w:szCs w:val="30"/>
        </w:rPr>
        <w:t>26号）和《关于做好&lt;住房公积金2017年年度报告&gt;披露工作的通知》（建金督函</w:t>
      </w:r>
      <w:r>
        <w:rPr>
          <w:rFonts w:ascii="仿宋" w:eastAsia="仿宋" w:hAnsi="仿宋" w:cs="仿宋" w:hint="eastAsia"/>
          <w:bCs/>
          <w:kern w:val="0"/>
          <w:sz w:val="30"/>
          <w:szCs w:val="30"/>
        </w:rPr>
        <w:t>〔</w:t>
      </w:r>
      <w:r>
        <w:rPr>
          <w:rFonts w:ascii="楷体_GB2312" w:eastAsia="楷体_GB2312" w:hAnsi="楷体_GB2312" w:cs="楷体_GB2312" w:hint="eastAsia"/>
          <w:bCs/>
          <w:kern w:val="0"/>
          <w:sz w:val="30"/>
          <w:szCs w:val="30"/>
        </w:rPr>
        <w:t>2018</w:t>
      </w:r>
      <w:r>
        <w:rPr>
          <w:rFonts w:ascii="仿宋" w:eastAsia="仿宋" w:hAnsi="仿宋" w:cs="仿宋" w:hint="eastAsia"/>
          <w:bCs/>
          <w:kern w:val="0"/>
          <w:sz w:val="30"/>
          <w:szCs w:val="30"/>
        </w:rPr>
        <w:t>〕</w:t>
      </w:r>
      <w:r>
        <w:rPr>
          <w:rFonts w:ascii="楷体_GB2312" w:eastAsia="楷体_GB2312" w:hAnsi="楷体_GB2312" w:cs="楷体_GB2312" w:hint="eastAsia"/>
          <w:bCs/>
          <w:kern w:val="0"/>
          <w:sz w:val="30"/>
          <w:szCs w:val="30"/>
        </w:rPr>
        <w:t>7号）规定注释。</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[2]提取率指当年提取额占当年缴存额的比率。</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[3]个人住房贷款率指年度末个人住房贷款余额占年度末住房公积金缴存余额的比率。</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[4]中、低收入是指收入低于上年当地社会平均工资3倍，高收入是指收入高于上年当地社会平均工资3倍（含）。</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[5]增值收益率指增值收益与月均缴存余额的比率。</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[6]人员经费包括住房公积金管理中心工作人员的基本工资、补助工资、职工福利费、社会保障费、住房公积金、助学金等。</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[7]公用经费包括住房公积金管理中心的公务费、业务费、设备购置费、修缮费和其他费用。</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[8]专项经费指经财政部门批准的用于指定项目和用途，并要求单独核算的资金。</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[9]个人住房贷款逾期率指个人住房贷款逾期额占个人住房贷款余额的比率。</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lastRenderedPageBreak/>
        <w:t>[10]异地贷款指缴存和购房行为不在同一城市的住房公积金个人住房贷款，包括用本市资金为在本市购房的外地缴存职工发放的贷款以及用本市资金为在外地购房的本市缴存职工发放的贷款。</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[11]可为贷款职工节约利息指当年获得住房公积金个人住房贷款的职工合同期内所需支付贷款利息总额与申请商业性住房贷款利息总额的差额。商业性住房贷款利率按基准利率测算。</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[12]公转商贴息贷款指商业银行向缴存职工发放的个人住房贷款，商业贷款和住房公积金贷款利息之差由住房公积金管理中心承担，所发放的个人住房贷款未计入住房公积金缴存使用情况表。</w:t>
      </w:r>
    </w:p>
    <w:p w:rsidR="00067B91" w:rsidRDefault="00067B91" w:rsidP="00067B91">
      <w:pPr>
        <w:adjustRightInd w:val="0"/>
        <w:spacing w:line="360" w:lineRule="auto"/>
        <w:ind w:firstLineChars="200" w:firstLine="600"/>
        <w:rPr>
          <w:rFonts w:ascii="楷体_GB2312" w:eastAsia="楷体_GB2312" w:hAnsi="楷体_GB2312" w:cs="楷体_GB2312" w:hint="eastAsia"/>
          <w:bCs/>
          <w:kern w:val="0"/>
          <w:sz w:val="30"/>
          <w:szCs w:val="30"/>
        </w:rPr>
      </w:pPr>
      <w:r>
        <w:rPr>
          <w:rFonts w:ascii="楷体_GB2312" w:eastAsia="楷体_GB2312" w:hAnsi="楷体_GB2312" w:cs="楷体_GB2312" w:hint="eastAsia"/>
          <w:bCs/>
          <w:kern w:val="0"/>
          <w:sz w:val="30"/>
          <w:szCs w:val="30"/>
        </w:rPr>
        <w:t>[13]支持职工购建住房面积指以住房公积金个人住房贷款带动的全部住房消费面积。</w:t>
      </w:r>
    </w:p>
    <w:p w:rsidR="00067B91" w:rsidRDefault="00067B91" w:rsidP="00067B91">
      <w:pPr>
        <w:adjustRightInd w:val="0"/>
        <w:spacing w:line="360" w:lineRule="auto"/>
        <w:ind w:firstLineChars="200" w:firstLine="600"/>
        <w:rPr>
          <w:rFonts w:ascii="楷体_GB2312" w:eastAsia="楷体_GB2312" w:hAnsi="楷体_GB2312" w:cs="楷体_GB2312"/>
          <w:bCs/>
          <w:kern w:val="0"/>
          <w:sz w:val="30"/>
          <w:szCs w:val="30"/>
        </w:rPr>
      </w:pPr>
      <w:r>
        <w:rPr>
          <w:rFonts w:ascii="楷体_GB2312" w:eastAsia="楷体_GB2312" w:hAnsi="楷体_GB2312" w:cs="楷体_GB2312" w:hint="eastAsia"/>
          <w:bCs/>
          <w:kern w:val="0"/>
          <w:sz w:val="30"/>
          <w:szCs w:val="30"/>
        </w:rPr>
        <w:t>[14]个人住房贷款市场占有率指当年住房公积金个人住房贷款余额占全国商业性和住房公积金个人住房贷款余额总和的比率。本指标的统计口径与《全国住房公积金2016年年度报告》中同名称指标口径相同，与《全国住房公积金2015年年度报告》中同名称指标的统计口径有调整，不可简单同比。</w:t>
      </w:r>
    </w:p>
    <w:p w:rsidR="00067B91" w:rsidRDefault="00067B91" w:rsidP="00067B91">
      <w:pPr>
        <w:adjustRightInd w:val="0"/>
        <w:spacing w:line="360" w:lineRule="auto"/>
        <w:ind w:firstLineChars="200" w:firstLine="600"/>
        <w:rPr>
          <w:rFonts w:ascii="楷体_GB2312" w:eastAsia="楷体_GB2312" w:hAnsi="楷体_GB2312" w:cs="楷体_GB2312"/>
          <w:bCs/>
          <w:kern w:val="0"/>
          <w:sz w:val="30"/>
          <w:szCs w:val="30"/>
        </w:rPr>
      </w:pPr>
    </w:p>
    <w:p w:rsidR="00067B91" w:rsidRDefault="00067B91" w:rsidP="00067B91">
      <w:pPr>
        <w:adjustRightInd w:val="0"/>
        <w:spacing w:line="360" w:lineRule="auto"/>
        <w:ind w:firstLineChars="1900" w:firstLine="5700"/>
        <w:rPr>
          <w:rFonts w:ascii="楷体_GB2312" w:eastAsia="楷体_GB2312" w:hAnsi="楷体_GB2312" w:cs="楷体_GB2312" w:hint="eastAsia"/>
          <w:bCs/>
          <w:kern w:val="0"/>
          <w:sz w:val="30"/>
          <w:szCs w:val="30"/>
        </w:rPr>
      </w:pPr>
    </w:p>
    <w:p w:rsidR="005D6697" w:rsidRPr="00067B91" w:rsidRDefault="005D6697"/>
    <w:sectPr w:rsidR="005D6697" w:rsidRPr="00067B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697" w:rsidRDefault="005D6697" w:rsidP="00067B91">
      <w:r>
        <w:separator/>
      </w:r>
    </w:p>
  </w:endnote>
  <w:endnote w:type="continuationSeparator" w:id="1">
    <w:p w:rsidR="005D6697" w:rsidRDefault="005D6697" w:rsidP="00067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697" w:rsidRDefault="005D6697" w:rsidP="00067B91">
      <w:r>
        <w:separator/>
      </w:r>
    </w:p>
  </w:footnote>
  <w:footnote w:type="continuationSeparator" w:id="1">
    <w:p w:rsidR="005D6697" w:rsidRDefault="005D6697" w:rsidP="00067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B91"/>
    <w:rsid w:val="00067B91"/>
    <w:rsid w:val="005D6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B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7B91"/>
    <w:rPr>
      <w:sz w:val="18"/>
      <w:szCs w:val="18"/>
    </w:rPr>
  </w:style>
  <w:style w:type="paragraph" w:styleId="a4">
    <w:name w:val="footer"/>
    <w:basedOn w:val="a"/>
    <w:link w:val="Char0"/>
    <w:unhideWhenUsed/>
    <w:rsid w:val="00067B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67B91"/>
    <w:rPr>
      <w:sz w:val="18"/>
      <w:szCs w:val="18"/>
    </w:rPr>
  </w:style>
  <w:style w:type="character" w:styleId="a5">
    <w:name w:val="page number"/>
    <w:basedOn w:val="a0"/>
    <w:rsid w:val="00067B91"/>
  </w:style>
  <w:style w:type="character" w:styleId="a6">
    <w:name w:val="annotation reference"/>
    <w:rsid w:val="00067B91"/>
    <w:rPr>
      <w:sz w:val="21"/>
      <w:szCs w:val="21"/>
    </w:rPr>
  </w:style>
  <w:style w:type="character" w:customStyle="1" w:styleId="Char1">
    <w:name w:val="页脚 Char1"/>
    <w:rsid w:val="00067B91"/>
    <w:rPr>
      <w:rFonts w:cs="Times New Roman"/>
      <w:sz w:val="18"/>
      <w:szCs w:val="18"/>
    </w:rPr>
  </w:style>
  <w:style w:type="character" w:customStyle="1" w:styleId="FooterChar">
    <w:name w:val="Footer Char"/>
    <w:rsid w:val="00067B91"/>
    <w:rPr>
      <w:sz w:val="18"/>
    </w:rPr>
  </w:style>
  <w:style w:type="character" w:customStyle="1" w:styleId="pagenumber">
    <w:name w:val="page number"/>
    <w:rsid w:val="00067B91"/>
    <w:rPr>
      <w:rFonts w:cs="Times New Roman"/>
    </w:rPr>
  </w:style>
  <w:style w:type="character" w:customStyle="1" w:styleId="Char2">
    <w:name w:val="文档结构图 Char"/>
    <w:link w:val="DocumentMap"/>
    <w:rsid w:val="00067B91"/>
    <w:rPr>
      <w:sz w:val="2"/>
      <w:shd w:val="clear" w:color="auto" w:fill="000080"/>
    </w:rPr>
  </w:style>
  <w:style w:type="character" w:customStyle="1" w:styleId="Char3">
    <w:name w:val="批注框文本 Char"/>
    <w:link w:val="a7"/>
    <w:rsid w:val="00067B91"/>
    <w:rPr>
      <w:sz w:val="18"/>
      <w:szCs w:val="18"/>
    </w:rPr>
  </w:style>
  <w:style w:type="character" w:customStyle="1" w:styleId="Char4">
    <w:name w:val="批注文字 Char"/>
    <w:link w:val="a8"/>
    <w:rsid w:val="00067B91"/>
    <w:rPr>
      <w:sz w:val="24"/>
      <w:szCs w:val="24"/>
    </w:rPr>
  </w:style>
  <w:style w:type="character" w:customStyle="1" w:styleId="Char5">
    <w:name w:val="批注主题 Char"/>
    <w:link w:val="a9"/>
    <w:rsid w:val="00067B91"/>
    <w:rPr>
      <w:rFonts w:ascii="Calibri" w:hAnsi="Calibri"/>
      <w:b/>
      <w:bCs/>
    </w:rPr>
  </w:style>
  <w:style w:type="paragraph" w:styleId="a7">
    <w:name w:val="Balloon Text"/>
    <w:basedOn w:val="a"/>
    <w:link w:val="Char3"/>
    <w:rsid w:val="00067B91"/>
    <w:rPr>
      <w:rFonts w:asciiTheme="minorHAnsi" w:eastAsiaTheme="minorEastAsia" w:hAnsiTheme="minorHAnsi" w:cstheme="minorBidi"/>
      <w:sz w:val="18"/>
      <w:szCs w:val="18"/>
    </w:rPr>
  </w:style>
  <w:style w:type="character" w:customStyle="1" w:styleId="Char10">
    <w:name w:val="批注框文本 Char1"/>
    <w:basedOn w:val="a0"/>
    <w:link w:val="a7"/>
    <w:uiPriority w:val="99"/>
    <w:semiHidden/>
    <w:rsid w:val="00067B91"/>
    <w:rPr>
      <w:rFonts w:ascii="Calibri" w:eastAsia="宋体" w:hAnsi="Calibri" w:cs="Times New Roman"/>
      <w:sz w:val="18"/>
      <w:szCs w:val="18"/>
    </w:rPr>
  </w:style>
  <w:style w:type="character" w:customStyle="1" w:styleId="Char11">
    <w:name w:val="页眉 Char1"/>
    <w:basedOn w:val="a0"/>
    <w:uiPriority w:val="99"/>
    <w:semiHidden/>
    <w:rsid w:val="00067B91"/>
    <w:rPr>
      <w:rFonts w:ascii="Calibri" w:hAnsi="Calibri"/>
      <w:kern w:val="2"/>
      <w:sz w:val="18"/>
      <w:szCs w:val="18"/>
    </w:rPr>
  </w:style>
  <w:style w:type="paragraph" w:styleId="aa">
    <w:name w:val="Normal (Web)"/>
    <w:basedOn w:val="a"/>
    <w:uiPriority w:val="99"/>
    <w:unhideWhenUsed/>
    <w:rsid w:val="00067B91"/>
    <w:pPr>
      <w:jc w:val="left"/>
    </w:pPr>
    <w:rPr>
      <w:kern w:val="0"/>
      <w:sz w:val="24"/>
    </w:rPr>
  </w:style>
  <w:style w:type="character" w:customStyle="1" w:styleId="Char20">
    <w:name w:val="页脚 Char2"/>
    <w:basedOn w:val="a0"/>
    <w:uiPriority w:val="99"/>
    <w:semiHidden/>
    <w:rsid w:val="00067B91"/>
    <w:rPr>
      <w:rFonts w:ascii="Calibri" w:hAnsi="Calibri"/>
      <w:kern w:val="2"/>
      <w:sz w:val="18"/>
      <w:szCs w:val="18"/>
    </w:rPr>
  </w:style>
  <w:style w:type="paragraph" w:styleId="a8">
    <w:name w:val="annotation text"/>
    <w:basedOn w:val="a"/>
    <w:link w:val="Char4"/>
    <w:rsid w:val="00067B91"/>
    <w:pPr>
      <w:jc w:val="left"/>
    </w:pPr>
    <w:rPr>
      <w:rFonts w:asciiTheme="minorHAnsi" w:eastAsiaTheme="minorEastAsia" w:hAnsiTheme="minorHAnsi" w:cstheme="minorBidi"/>
      <w:sz w:val="24"/>
      <w:szCs w:val="24"/>
    </w:rPr>
  </w:style>
  <w:style w:type="character" w:customStyle="1" w:styleId="Char12">
    <w:name w:val="批注文字 Char1"/>
    <w:basedOn w:val="a0"/>
    <w:link w:val="a8"/>
    <w:uiPriority w:val="99"/>
    <w:semiHidden/>
    <w:rsid w:val="00067B91"/>
    <w:rPr>
      <w:rFonts w:ascii="Calibri" w:eastAsia="宋体" w:hAnsi="Calibri" w:cs="Times New Roman"/>
    </w:rPr>
  </w:style>
  <w:style w:type="paragraph" w:styleId="a9">
    <w:name w:val="annotation subject"/>
    <w:basedOn w:val="a8"/>
    <w:next w:val="a8"/>
    <w:link w:val="Char5"/>
    <w:rsid w:val="00067B91"/>
    <w:rPr>
      <w:rFonts w:ascii="Calibri" w:hAnsi="Calibri"/>
      <w:b/>
      <w:bCs/>
      <w:sz w:val="21"/>
      <w:szCs w:val="22"/>
    </w:rPr>
  </w:style>
  <w:style w:type="character" w:customStyle="1" w:styleId="Char13">
    <w:name w:val="批注主题 Char1"/>
    <w:basedOn w:val="Char12"/>
    <w:link w:val="a9"/>
    <w:uiPriority w:val="99"/>
    <w:semiHidden/>
    <w:rsid w:val="00067B91"/>
    <w:rPr>
      <w:b/>
      <w:bCs/>
    </w:rPr>
  </w:style>
  <w:style w:type="paragraph" w:customStyle="1" w:styleId="Char6">
    <w:name w:val="Char"/>
    <w:basedOn w:val="a"/>
    <w:rsid w:val="00067B91"/>
    <w:pPr>
      <w:spacing w:line="360" w:lineRule="auto"/>
      <w:ind w:firstLineChars="200" w:firstLine="200"/>
    </w:pPr>
    <w:rPr>
      <w:rFonts w:ascii="Times New Roman" w:hAnsi="Times New Roman"/>
      <w:szCs w:val="24"/>
    </w:rPr>
  </w:style>
  <w:style w:type="paragraph" w:customStyle="1" w:styleId="Style4">
    <w:name w:val="_Style 4"/>
    <w:basedOn w:val="a"/>
    <w:rsid w:val="00067B91"/>
    <w:pPr>
      <w:spacing w:line="360" w:lineRule="auto"/>
      <w:ind w:firstLineChars="200" w:firstLine="200"/>
    </w:pPr>
    <w:rPr>
      <w:rFonts w:ascii="Times New Roman" w:hAnsi="Times New Roman"/>
      <w:szCs w:val="24"/>
    </w:rPr>
  </w:style>
  <w:style w:type="paragraph" w:customStyle="1" w:styleId="p15">
    <w:name w:val="p15"/>
    <w:basedOn w:val="a"/>
    <w:rsid w:val="00067B91"/>
    <w:pPr>
      <w:widowControl/>
      <w:spacing w:line="600" w:lineRule="atLeast"/>
      <w:ind w:firstLine="420"/>
    </w:pPr>
    <w:rPr>
      <w:rFonts w:ascii="仿宋_GB2312" w:eastAsia="仿宋_GB2312" w:hAnsi="宋体"/>
      <w:sz w:val="32"/>
      <w:szCs w:val="24"/>
    </w:rPr>
  </w:style>
  <w:style w:type="paragraph" w:customStyle="1" w:styleId="DocumentMap">
    <w:name w:val="Document Map"/>
    <w:basedOn w:val="a"/>
    <w:link w:val="Char2"/>
    <w:rsid w:val="00067B91"/>
    <w:pPr>
      <w:shd w:val="clear" w:color="auto" w:fill="000080"/>
    </w:pPr>
    <w:rPr>
      <w:rFonts w:asciiTheme="minorHAnsi" w:eastAsiaTheme="minorEastAsia" w:hAnsiTheme="minorHAnsi" w:cstheme="minorBidi"/>
      <w:sz w:val="2"/>
    </w:rPr>
  </w:style>
  <w:style w:type="paragraph" w:styleId="ab">
    <w:name w:val="Revision"/>
    <w:rsid w:val="00067B91"/>
    <w:rPr>
      <w:rFonts w:ascii="Calibri" w:eastAsia="宋体" w:hAnsi="Calibri" w:cs="Times New Roman"/>
    </w:rPr>
  </w:style>
  <w:style w:type="paragraph" w:styleId="ac">
    <w:name w:val="List Paragraph"/>
    <w:basedOn w:val="a"/>
    <w:uiPriority w:val="34"/>
    <w:qFormat/>
    <w:rsid w:val="00067B91"/>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ing\Desktop\2017&#24180;&#25253;\&#22810;&#25968;&#29992;&#22270;\&#22810;&#25968;&#29992;&#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ng\Desktop\2017&#24180;&#25253;\&#22810;&#25968;&#29992;&#22270;\&#22810;&#25968;&#29992;&#2227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ng\Desktop\2017&#24180;&#25253;\&#22810;&#25968;&#29992;&#22270;\&#22810;&#25968;&#29992;&#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ng\Desktop\2017&#24180;&#25253;\&#22810;&#25968;&#29992;&#22270;\&#22810;&#25968;&#29992;&#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ng\Desktop\2017&#24180;&#25253;\&#22810;&#25968;&#29992;&#22270;\&#22270;7.8.&#21333;&#20301;&#24615;&#36136;&#20998;&#32844;&#2403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ng\Desktop\2017&#24180;&#25253;\&#22810;&#25968;&#29992;&#22270;\&#22810;&#25968;&#29992;&#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ing\Desktop\2017&#24180;&#25253;\&#22810;&#25968;&#29992;&#22270;\&#22810;&#25968;&#29992;&#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3395423546643843E-2"/>
          <c:y val="5.2779394442624007E-2"/>
          <c:w val="0.83678285053817847"/>
          <c:h val="0.76298745990084604"/>
        </c:manualLayout>
      </c:layout>
      <c:barChart>
        <c:barDir val="col"/>
        <c:grouping val="clustered"/>
        <c:ser>
          <c:idx val="0"/>
          <c:order val="0"/>
          <c:tx>
            <c:strRef>
              <c:f>"年度缴存额"</c:f>
              <c:strCache>
                <c:ptCount val="1"/>
                <c:pt idx="0">
                  <c:v>年度缴存额</c:v>
                </c:pt>
              </c:strCache>
            </c:strRef>
          </c:tx>
          <c:spPr>
            <a:solidFill>
              <a:srgbClr val="7DE5F3">
                <a:alpha val="70000"/>
              </a:srgbClr>
            </a:solidFill>
            <a:ln w="25400">
              <a:noFill/>
            </a:ln>
          </c:spPr>
          <c:dPt>
            <c:idx val="1"/>
            <c:spPr>
              <a:solidFill>
                <a:srgbClr val="7DE5F3">
                  <a:alpha val="70000"/>
                </a:srgbClr>
              </a:solidFill>
              <a:ln w="25400">
                <a:noFill/>
              </a:ln>
            </c:spPr>
          </c:dPt>
          <c:dLbls>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numRef>
              <c:f>[多数用图.xls]缴存!$A$2:$A$6</c:f>
              <c:numCache>
                <c:formatCode>General</c:formatCode>
                <c:ptCount val="5"/>
                <c:pt idx="0">
                  <c:v>2013</c:v>
                </c:pt>
                <c:pt idx="1">
                  <c:v>2014</c:v>
                </c:pt>
                <c:pt idx="2">
                  <c:v>2015</c:v>
                </c:pt>
                <c:pt idx="3">
                  <c:v>2016</c:v>
                </c:pt>
                <c:pt idx="4">
                  <c:v>2017</c:v>
                </c:pt>
              </c:numCache>
            </c:numRef>
          </c:cat>
          <c:val>
            <c:numRef>
              <c:f>[多数用图.xls]缴存!$B$2:$B$6</c:f>
              <c:numCache>
                <c:formatCode>General</c:formatCode>
                <c:ptCount val="5"/>
                <c:pt idx="0">
                  <c:v>11526.03</c:v>
                </c:pt>
                <c:pt idx="1">
                  <c:v>12956.869999999995</c:v>
                </c:pt>
                <c:pt idx="2">
                  <c:v>14549.46</c:v>
                </c:pt>
                <c:pt idx="3">
                  <c:v>16562.88</c:v>
                </c:pt>
                <c:pt idx="4">
                  <c:v>18726.740000000005</c:v>
                </c:pt>
              </c:numCache>
            </c:numRef>
          </c:val>
        </c:ser>
        <c:ser>
          <c:idx val="1"/>
          <c:order val="1"/>
          <c:tx>
            <c:strRef>
              <c:f>"缴存余额"</c:f>
              <c:strCache>
                <c:ptCount val="1"/>
                <c:pt idx="0">
                  <c:v>缴存余额</c:v>
                </c:pt>
              </c:strCache>
            </c:strRef>
          </c:tx>
          <c:spPr>
            <a:solidFill>
              <a:srgbClr val="0070C0">
                <a:alpha val="69000"/>
              </a:srgbClr>
            </a:solidFill>
            <a:ln w="25400">
              <a:noFill/>
            </a:ln>
          </c:spPr>
          <c:dLbls>
            <c:dLbl>
              <c:idx val="1"/>
              <c:layout>
                <c:manualLayout>
                  <c:x val="4.0057224606580816E-2"/>
                  <c:y val="1.1111111111111101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numRef>
              <c:f>[多数用图.xls]缴存!$A$2:$A$6</c:f>
              <c:numCache>
                <c:formatCode>General</c:formatCode>
                <c:ptCount val="5"/>
                <c:pt idx="0">
                  <c:v>2013</c:v>
                </c:pt>
                <c:pt idx="1">
                  <c:v>2014</c:v>
                </c:pt>
                <c:pt idx="2">
                  <c:v>2015</c:v>
                </c:pt>
                <c:pt idx="3">
                  <c:v>2016</c:v>
                </c:pt>
                <c:pt idx="4">
                  <c:v>2017</c:v>
                </c:pt>
              </c:numCache>
            </c:numRef>
          </c:cat>
          <c:val>
            <c:numRef>
              <c:f>[多数用图.xls]缴存!$C$2:$C$6</c:f>
              <c:numCache>
                <c:formatCode>General</c:formatCode>
                <c:ptCount val="5"/>
                <c:pt idx="0">
                  <c:v>31679.49</c:v>
                </c:pt>
                <c:pt idx="1">
                  <c:v>37046.83</c:v>
                </c:pt>
                <c:pt idx="2">
                  <c:v>40674.720000000001</c:v>
                </c:pt>
                <c:pt idx="3">
                  <c:v>45627.850000000013</c:v>
                </c:pt>
                <c:pt idx="4">
                  <c:v>51620.74</c:v>
                </c:pt>
              </c:numCache>
            </c:numRef>
          </c:val>
        </c:ser>
        <c:axId val="266946816"/>
        <c:axId val="284819840"/>
      </c:barChart>
      <c:lineChart>
        <c:grouping val="standard"/>
        <c:ser>
          <c:idx val="2"/>
          <c:order val="2"/>
          <c:tx>
            <c:strRef>
              <c:f>"年度缴存额增长率"</c:f>
              <c:strCache>
                <c:ptCount val="1"/>
                <c:pt idx="0">
                  <c:v>年度缴存额增长率</c:v>
                </c:pt>
              </c:strCache>
            </c:strRef>
          </c:tx>
          <c:spPr>
            <a:ln w="19050" cap="rnd" cmpd="sng" algn="ctr">
              <a:solidFill>
                <a:srgbClr val="D99694">
                  <a:lumMod val="60000"/>
                  <a:lumOff val="40000"/>
                </a:srgbClr>
              </a:solidFill>
              <a:prstDash val="solid"/>
              <a:round/>
            </a:ln>
          </c:spPr>
          <c:marker>
            <c:symbol val="square"/>
            <c:size val="4"/>
            <c:spPr>
              <a:solidFill>
                <a:srgbClr val="D99694">
                  <a:lumMod val="60000"/>
                  <a:lumOff val="40000"/>
                </a:srgbClr>
              </a:solidFill>
              <a:ln w="9525" cap="flat" cmpd="sng" algn="ctr">
                <a:solidFill>
                  <a:srgbClr val="D99694">
                    <a:lumMod val="60000"/>
                    <a:lumOff val="40000"/>
                  </a:srgbClr>
                </a:solidFill>
                <a:prstDash val="solid"/>
                <a:round/>
              </a:ln>
            </c:spPr>
          </c:marker>
          <c:dLbls>
            <c:dLbl>
              <c:idx val="0"/>
              <c:layout>
                <c:manualLayout>
                  <c:x val="-1.5259895088221303E-2"/>
                  <c:y val="-3.3333333333333305E-2"/>
                </c:manualLayout>
              </c:layout>
              <c:dLblPos val="r"/>
              <c:showVal val="1"/>
              <c:extLst>
                <c:ext xmlns:c15="http://schemas.microsoft.com/office/drawing/2012/chart" uri="{CE6537A1-D6FC-4f65-9D91-7224C49458BB}">
                  <c15:layout/>
                </c:ext>
              </c:extLst>
            </c:dLbl>
            <c:dLbl>
              <c:idx val="1"/>
              <c:layout>
                <c:manualLayout>
                  <c:x val="-5.7224606580829817E-3"/>
                  <c:y val="5.1851851851851913E-2"/>
                </c:manualLayout>
              </c:layout>
              <c:dLblPos val="r"/>
              <c:showVal val="1"/>
              <c:extLst>
                <c:ext xmlns:c15="http://schemas.microsoft.com/office/drawing/2012/chart" uri="{CE6537A1-D6FC-4f65-9D91-7224C49458BB}">
                  <c15:layout/>
                </c:ext>
              </c:extLst>
            </c:dLbl>
            <c:dLbl>
              <c:idx val="2"/>
              <c:layout>
                <c:manualLayout>
                  <c:x val="-7.8206962327134019E-2"/>
                  <c:y val="4.0740740740740723E-2"/>
                </c:manualLayout>
              </c:layout>
              <c:dLblPos val="r"/>
              <c:showVal val="1"/>
              <c:extLst>
                <c:ext xmlns:c15="http://schemas.microsoft.com/office/drawing/2012/chart" uri="{CE6537A1-D6FC-4f65-9D91-7224C49458BB}">
                  <c15:layout/>
                </c:ext>
              </c:extLst>
            </c:dLbl>
            <c:dLbl>
              <c:idx val="3"/>
              <c:layout>
                <c:manualLayout>
                  <c:x val="-7.8206962327134019E-2"/>
                  <c:y val="-4.4444444444444418E-2"/>
                </c:manualLayout>
              </c:layout>
              <c:dLblPos val="r"/>
              <c:showVal val="1"/>
              <c:extLst>
                <c:ext xmlns:c15="http://schemas.microsoft.com/office/drawing/2012/chart" uri="{CE6537A1-D6FC-4f65-9D91-7224C49458BB}">
                  <c15:layout/>
                </c:ext>
              </c:extLst>
            </c:dLbl>
            <c:dLbl>
              <c:idx val="4"/>
              <c:layout>
                <c:manualLayout>
                  <c:x val="-8.0114449213161715E-2"/>
                  <c:y val="-4.0740740740740723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r"/>
            <c:showVal val="1"/>
            <c:extLst>
              <c:ext xmlns:c15="http://schemas.microsoft.com/office/drawing/2012/chart" uri="{CE6537A1-D6FC-4f65-9D91-7224C49458BB}">
                <c15:layout/>
                <c15:showLeaderLines val="0"/>
                <c15:leaderLines/>
              </c:ext>
            </c:extLst>
          </c:dLbls>
          <c:cat>
            <c:numRef>
              <c:f>[多数用图.xls]缴存!$A$2:$A$6</c:f>
              <c:numCache>
                <c:formatCode>General</c:formatCode>
                <c:ptCount val="5"/>
                <c:pt idx="0">
                  <c:v>2013</c:v>
                </c:pt>
                <c:pt idx="1">
                  <c:v>2014</c:v>
                </c:pt>
                <c:pt idx="2">
                  <c:v>2015</c:v>
                </c:pt>
                <c:pt idx="3">
                  <c:v>2016</c:v>
                </c:pt>
                <c:pt idx="4">
                  <c:v>2017</c:v>
                </c:pt>
              </c:numCache>
            </c:numRef>
          </c:cat>
          <c:val>
            <c:numRef>
              <c:f>[多数用图.xls]缴存!$D$2:$D$6</c:f>
              <c:numCache>
                <c:formatCode>0.00_ </c:formatCode>
                <c:ptCount val="5"/>
                <c:pt idx="0">
                  <c:v>17.36</c:v>
                </c:pt>
                <c:pt idx="1">
                  <c:v>12.41</c:v>
                </c:pt>
                <c:pt idx="2">
                  <c:v>12.29</c:v>
                </c:pt>
                <c:pt idx="3">
                  <c:v>13.84</c:v>
                </c:pt>
                <c:pt idx="4">
                  <c:v>13.06</c:v>
                </c:pt>
              </c:numCache>
            </c:numRef>
          </c:val>
        </c:ser>
        <c:marker val="1"/>
        <c:axId val="284865664"/>
        <c:axId val="266723328"/>
      </c:lineChart>
      <c:catAx>
        <c:axId val="266946816"/>
        <c:scaling>
          <c:orientation val="minMax"/>
        </c:scaling>
        <c:axPos val="b"/>
        <c:numFmt formatCode="General" sourceLinked="1"/>
        <c:majorTickMark val="in"/>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84819840"/>
        <c:crosses val="autoZero"/>
        <c:auto val="1"/>
        <c:lblAlgn val="ctr"/>
        <c:lblOffset val="100"/>
        <c:tickLblSkip val="1"/>
      </c:catAx>
      <c:valAx>
        <c:axId val="284819840"/>
        <c:scaling>
          <c:orientation val="minMax"/>
        </c:scaling>
        <c:axPos val="l"/>
        <c:numFmt formatCode="General" sourceLinked="1"/>
        <c:majorTickMark val="in"/>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66946816"/>
        <c:crosses val="autoZero"/>
        <c:crossBetween val="between"/>
        <c:majorUnit val="10000"/>
      </c:valAx>
      <c:catAx>
        <c:axId val="284865664"/>
        <c:scaling>
          <c:orientation val="minMax"/>
        </c:scaling>
        <c:delete val="1"/>
        <c:axPos val="b"/>
        <c:numFmt formatCode="General" sourceLinked="1"/>
        <c:tickLblPos val="nextTo"/>
        <c:crossAx val="266723328"/>
        <c:crossesAt val="0"/>
        <c:auto val="1"/>
        <c:lblAlgn val="ctr"/>
        <c:lblOffset val="100"/>
      </c:catAx>
      <c:valAx>
        <c:axId val="266723328"/>
        <c:scaling>
          <c:orientation val="minMax"/>
          <c:max val="25"/>
          <c:min val="0"/>
        </c:scaling>
        <c:axPos val="r"/>
        <c:numFmt formatCode="#,##0;[Red]\-#,##0" sourceLinked="0"/>
        <c:majorTickMark val="in"/>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84865664"/>
        <c:crosses val="max"/>
        <c:crossBetween val="between"/>
        <c:majorUnit val="5"/>
        <c:minorUnit val="1"/>
      </c:valAx>
      <c:spPr>
        <a:noFill/>
        <a:ln w="3175">
          <a:noFill/>
        </a:ln>
      </c:spPr>
    </c:plotArea>
    <c:legend>
      <c:legendPos val="b"/>
      <c:legendEntry>
        <c:idx val="0"/>
        <c:txPr>
          <a:bodyPr rot="0" spcFirstLastPara="0" vertOverflow="ellipsis" vert="horz" wrap="square" anchor="ctr" anchorCtr="1"/>
          <a:lstStyle/>
          <a:p>
            <a:pPr>
              <a:defRPr lang="zh-CN" sz="87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87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2"/>
        <c:txPr>
          <a:bodyPr rot="0" spcFirstLastPara="0" vertOverflow="ellipsis" vert="horz" wrap="square" anchor="ctr" anchorCtr="1"/>
          <a:lstStyle/>
          <a:p>
            <a:pPr>
              <a:defRPr lang="zh-CN" sz="87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7.5015301198938109E-2"/>
          <c:y val="0.93106299212598398"/>
          <c:w val="0.83255704624904703"/>
          <c:h val="6.8937007874015702E-2"/>
        </c:manualLayout>
      </c:layout>
      <c:spPr>
        <a:solidFill>
          <a:srgbClr val="FFFFFF">
            <a:alpha val="100000"/>
          </a:srgbClr>
        </a:solidFill>
        <a:ln w="3175">
          <a:noFill/>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rot="0" wrap="square" anchor="ctr" anchorCtr="1"/>
    <a:lstStyle/>
    <a:p>
      <a:pPr>
        <a:defRPr lang="zh-CN" sz="182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935430100940398"/>
          <c:y val="5.9600466608340619E-2"/>
          <c:w val="0.82856118551331281"/>
          <c:h val="0.74445937855896505"/>
        </c:manualLayout>
      </c:layout>
      <c:barChart>
        <c:barDir val="col"/>
        <c:grouping val="clustered"/>
        <c:ser>
          <c:idx val="0"/>
          <c:order val="0"/>
          <c:tx>
            <c:strRef>
              <c:f>"年度提取额"</c:f>
              <c:strCache>
                <c:ptCount val="1"/>
                <c:pt idx="0">
                  <c:v>年度提取额</c:v>
                </c:pt>
              </c:strCache>
            </c:strRef>
          </c:tx>
          <c:spPr>
            <a:solidFill>
              <a:srgbClr val="7DE5F3">
                <a:alpha val="70000"/>
              </a:srgbClr>
            </a:solidFill>
            <a:ln w="25400">
              <a:noFill/>
            </a:ln>
          </c:spPr>
          <c:dLbls>
            <c:dLbl>
              <c:idx val="4"/>
              <c:tx>
                <c:rich>
                  <a:bodyPr rot="0" spcFirstLastPara="0" vertOverflow="ellipsis" vert="horz" wrap="square" lIns="38100" tIns="19050" rIns="38100" bIns="19050" anchor="ctr" anchorCtr="1"/>
                  <a:lstStyle/>
                  <a:p>
                    <a:pPr defTabSz="914400">
                      <a:defRPr lang="zh-CN" sz="12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1272</a:t>
                    </a:r>
                    <a:r>
                      <a:rPr lang="en-US" altLang="zh-CN"/>
                      <a:t>9.80</a:t>
                    </a:r>
                  </a:p>
                </c:rich>
              </c:tx>
              <c:spPr>
                <a:noFill/>
                <a:ln w="25400">
                  <a:noFill/>
                </a:ln>
                <a:effectLst/>
              </c:spPr>
              <c:dLblPos val="outEnd"/>
              <c:showVal val="1"/>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numRef>
              <c:f>'C:\Users\ying\Desktop\2017年报\多数用图\[图2.提取.xls]Sheet1'!$A$1:$A$5</c:f>
              <c:numCache>
                <c:formatCode>General</c:formatCode>
                <c:ptCount val="5"/>
                <c:pt idx="0">
                  <c:v>2013</c:v>
                </c:pt>
                <c:pt idx="1">
                  <c:v>2014</c:v>
                </c:pt>
                <c:pt idx="2">
                  <c:v>2015</c:v>
                </c:pt>
                <c:pt idx="3">
                  <c:v>2016</c:v>
                </c:pt>
                <c:pt idx="4">
                  <c:v>2017</c:v>
                </c:pt>
              </c:numCache>
            </c:numRef>
          </c:cat>
          <c:val>
            <c:numRef>
              <c:f>'C:\Users\ying\Desktop\2017年报\多数用图\[图2.提取.xls]Sheet1'!$B$1:$B$5</c:f>
              <c:numCache>
                <c:formatCode>General</c:formatCode>
                <c:ptCount val="5"/>
                <c:pt idx="0">
                  <c:v>6651.63</c:v>
                </c:pt>
                <c:pt idx="1">
                  <c:v>7581.96</c:v>
                </c:pt>
                <c:pt idx="2">
                  <c:v>10987.47</c:v>
                </c:pt>
                <c:pt idx="3">
                  <c:v>11626.88</c:v>
                </c:pt>
                <c:pt idx="4">
                  <c:v>12728.91</c:v>
                </c:pt>
              </c:numCache>
            </c:numRef>
          </c:val>
        </c:ser>
        <c:ser>
          <c:idx val="1"/>
          <c:order val="1"/>
          <c:tx>
            <c:strRef>
              <c:f>"提取总额"</c:f>
              <c:strCache>
                <c:ptCount val="1"/>
                <c:pt idx="0">
                  <c:v>提取总额</c:v>
                </c:pt>
              </c:strCache>
            </c:strRef>
          </c:tx>
          <c:spPr>
            <a:solidFill>
              <a:srgbClr val="0070C0">
                <a:alpha val="70000"/>
              </a:srgbClr>
            </a:solidFill>
            <a:ln w="25400">
              <a:noFill/>
            </a:ln>
          </c:spPr>
          <c:dLbls>
            <c:dLbl>
              <c:idx val="3"/>
              <c:layout>
                <c:manualLayout>
                  <c:x val="-5.6577086280056614E-3"/>
                  <c:y val="2.1680216802168015E-2"/>
                </c:manualLayout>
              </c:layout>
              <c:dLblPos val="outEnd"/>
              <c:showVal val="1"/>
              <c:extLst>
                <c:ext xmlns:c15="http://schemas.microsoft.com/office/drawing/2012/chart" uri="{CE6537A1-D6FC-4f65-9D91-7224C49458BB}">
                  <c15:layout/>
                </c:ext>
              </c:extLst>
            </c:dLbl>
            <c:dLbl>
              <c:idx val="4"/>
              <c:layout>
                <c:manualLayout>
                  <c:x val="-4.7675804529201402E-3"/>
                  <c:y val="2.6058631921824116E-2"/>
                </c:manualLayout>
              </c:layout>
              <c:tx>
                <c:rich>
                  <a:bodyPr rot="0" spcFirstLastPara="0" vertOverflow="ellipsis" vert="horz" wrap="square" lIns="38100" tIns="19050" rIns="38100" bIns="19050" anchor="ctr" anchorCtr="1"/>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7322</a:t>
                    </a:r>
                    <a:r>
                      <a:rPr lang="en-US" altLang="zh-CN"/>
                      <a:t>4.38</a:t>
                    </a:r>
                    <a:endParaRPr lang="en-US" alt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endParaRPr>
                  </a:p>
                </c:rich>
              </c:tx>
              <c:spPr>
                <a:noFill/>
                <a:ln w="25400">
                  <a:noFill/>
                </a:ln>
                <a:effectLst/>
              </c:spPr>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numRef>
              <c:f>'C:\Users\ying\Desktop\2017年报\多数用图\[图2.提取.xls]Sheet1'!$A$1:$A$5</c:f>
              <c:numCache>
                <c:formatCode>General</c:formatCode>
                <c:ptCount val="5"/>
                <c:pt idx="0">
                  <c:v>2013</c:v>
                </c:pt>
                <c:pt idx="1">
                  <c:v>2014</c:v>
                </c:pt>
                <c:pt idx="2">
                  <c:v>2015</c:v>
                </c:pt>
                <c:pt idx="3">
                  <c:v>2016</c:v>
                </c:pt>
                <c:pt idx="4">
                  <c:v>2017</c:v>
                </c:pt>
              </c:numCache>
            </c:numRef>
          </c:cat>
          <c:val>
            <c:numRef>
              <c:f>'C:\Users\ying\Desktop\2017年报\多数用图\[图2.提取.xls]Sheet1'!$C$1:$C$5</c:f>
              <c:numCache>
                <c:formatCode>General</c:formatCode>
                <c:ptCount val="5"/>
                <c:pt idx="0">
                  <c:v>30245.06</c:v>
                </c:pt>
                <c:pt idx="1">
                  <c:v>37806.26</c:v>
                </c:pt>
                <c:pt idx="2">
                  <c:v>48815.64</c:v>
                </c:pt>
                <c:pt idx="3">
                  <c:v>60463.59</c:v>
                </c:pt>
                <c:pt idx="4">
                  <c:v>73221.22</c:v>
                </c:pt>
              </c:numCache>
            </c:numRef>
          </c:val>
        </c:ser>
        <c:axId val="266783744"/>
        <c:axId val="266793728"/>
      </c:barChart>
      <c:lineChart>
        <c:grouping val="standard"/>
        <c:ser>
          <c:idx val="2"/>
          <c:order val="2"/>
          <c:tx>
            <c:strRef>
              <c:f>"提取率"</c:f>
              <c:strCache>
                <c:ptCount val="1"/>
                <c:pt idx="0">
                  <c:v>提取率</c:v>
                </c:pt>
              </c:strCache>
            </c:strRef>
          </c:tx>
          <c:spPr>
            <a:ln w="19050" cap="rnd" cmpd="sng" algn="ctr">
              <a:solidFill>
                <a:srgbClr val="D99694">
                  <a:lumMod val="60000"/>
                  <a:lumOff val="40000"/>
                </a:srgbClr>
              </a:solidFill>
              <a:prstDash val="solid"/>
              <a:round/>
            </a:ln>
          </c:spPr>
          <c:marker>
            <c:symbol val="square"/>
            <c:size val="5"/>
            <c:spPr>
              <a:solidFill>
                <a:srgbClr val="D99694">
                  <a:lumMod val="60000"/>
                  <a:lumOff val="40000"/>
                </a:srgbClr>
              </a:solidFill>
              <a:ln w="9525" cap="flat" cmpd="sng" algn="ctr">
                <a:solidFill>
                  <a:srgbClr val="D99694">
                    <a:lumMod val="60000"/>
                    <a:lumOff val="40000"/>
                  </a:srgbClr>
                </a:solidFill>
                <a:prstDash val="solid"/>
                <a:round/>
              </a:ln>
            </c:spPr>
          </c:marker>
          <c:dLbls>
            <c:dLbl>
              <c:idx val="0"/>
              <c:layout>
                <c:manualLayout>
                  <c:x val="-9.5351609058402925E-3"/>
                  <c:y val="-4.545453460879631E-2"/>
                </c:manualLayout>
              </c:layout>
              <c:dLblPos val="r"/>
              <c:showVal val="1"/>
              <c:extLst>
                <c:ext xmlns:c15="http://schemas.microsoft.com/office/drawing/2012/chart" uri="{CE6537A1-D6FC-4f65-9D91-7224C49458BB}">
                  <c15:layout/>
                </c:ext>
              </c:extLst>
            </c:dLbl>
            <c:dLbl>
              <c:idx val="1"/>
              <c:layout>
                <c:manualLayout>
                  <c:x val="-4.7549996844453914E-2"/>
                  <c:y val="-5.5013407876860911E-2"/>
                </c:manualLayout>
              </c:layout>
              <c:dLblPos val="r"/>
              <c:showVal val="1"/>
              <c:extLst>
                <c:ext xmlns:c15="http://schemas.microsoft.com/office/drawing/2012/chart" uri="{CE6537A1-D6FC-4f65-9D91-7224C49458BB}">
                  <c15:layout/>
                </c:ext>
              </c:extLst>
            </c:dLbl>
            <c:dLbl>
              <c:idx val="2"/>
              <c:layout>
                <c:manualLayout>
                  <c:x val="-2.2630834512022614E-2"/>
                  <c:y val="6.5040650406504016E-2"/>
                </c:manualLayout>
              </c:layout>
              <c:dLblPos val="r"/>
              <c:showVal val="1"/>
              <c:extLst>
                <c:ext xmlns:c15="http://schemas.microsoft.com/office/drawing/2012/chart" uri="{CE6537A1-D6FC-4f65-9D91-7224C49458BB}">
                  <c15:layout/>
                </c:ext>
              </c:extLst>
            </c:dLbl>
            <c:dLbl>
              <c:idx val="3"/>
              <c:layout>
                <c:manualLayout>
                  <c:x val="-1.7883556634628612E-2"/>
                  <c:y val="-4.6628968126951616E-2"/>
                </c:manualLayout>
              </c:layout>
              <c:tx>
                <c:rich>
                  <a:bodyPr rot="0" spcFirstLastPara="0" vertOverflow="ellipsis" vert="horz" wrap="square" lIns="38100" tIns="19050" rIns="38100" bIns="19050" anchor="ctr" anchorCtr="1"/>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70.2</a:t>
                    </a:r>
                    <a:r>
                      <a:rPr lang="en-US" altLang="zh-CN"/>
                      <a:t>0</a:t>
                    </a:r>
                    <a:endParaRPr lang="en-US" alt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endParaRPr>
                  </a:p>
                </c:rich>
              </c:tx>
              <c:spPr>
                <a:noFill/>
                <a:ln w="25400">
                  <a:noFill/>
                </a:ln>
                <a:effectLst/>
              </c:spPr>
              <c:dLblPos val="r"/>
              <c:showVal val="1"/>
              <c:extLst>
                <c:ext xmlns:c15="http://schemas.microsoft.com/office/drawing/2012/chart" uri="{CE6537A1-D6FC-4f65-9D91-7224C49458BB}">
                  <c15:layout/>
                </c:ext>
              </c:extLst>
            </c:dLbl>
            <c:dLbl>
              <c:idx val="4"/>
              <c:layout>
                <c:manualLayout>
                  <c:x val="-4.1701173491927403E-2"/>
                  <c:y val="6.294660321931303E-2"/>
                </c:manualLayout>
              </c:layout>
              <c:tx>
                <c:rich>
                  <a:bodyPr rot="0" spcFirstLastPara="0" vertOverflow="ellipsis" vert="horz" wrap="square" lIns="38100" tIns="19050" rIns="38100" bIns="19050" anchor="ctr" anchorCtr="1"/>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67.9</a:t>
                    </a:r>
                    <a:r>
                      <a:rPr lang="en-US" altLang="zh-CN"/>
                      <a:t>8</a:t>
                    </a:r>
                    <a:endParaRPr lang="en-US" alt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endParaRPr>
                  </a:p>
                </c:rich>
              </c:tx>
              <c:spPr>
                <a:noFill/>
                <a:ln w="25400">
                  <a:noFill/>
                </a:ln>
                <a:effectLst/>
              </c:spPr>
              <c:dLblPos val="r"/>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r"/>
            <c:showVal val="1"/>
            <c:extLst>
              <c:ext xmlns:c15="http://schemas.microsoft.com/office/drawing/2012/chart" uri="{CE6537A1-D6FC-4f65-9D91-7224C49458BB}">
                <c15:layout/>
                <c15:showLeaderLines val="0"/>
                <c15:leaderLines/>
              </c:ext>
            </c:extLst>
          </c:dLbls>
          <c:cat>
            <c:numRef>
              <c:f>'C:\Users\ying\Desktop\2017年报\多数用图\[图2.提取.xls]Sheet1'!$A$1:$A$5</c:f>
              <c:numCache>
                <c:formatCode>General</c:formatCode>
                <c:ptCount val="5"/>
                <c:pt idx="0">
                  <c:v>2013</c:v>
                </c:pt>
                <c:pt idx="1">
                  <c:v>2014</c:v>
                </c:pt>
                <c:pt idx="2">
                  <c:v>2015</c:v>
                </c:pt>
                <c:pt idx="3">
                  <c:v>2016</c:v>
                </c:pt>
                <c:pt idx="4">
                  <c:v>2017</c:v>
                </c:pt>
              </c:numCache>
            </c:numRef>
          </c:cat>
          <c:val>
            <c:numRef>
              <c:f>'C:\Users\ying\Desktop\2017年报\多数用图\[图2.提取.xls]Sheet1'!$D$1:$D$5</c:f>
              <c:numCache>
                <c:formatCode>General</c:formatCode>
                <c:ptCount val="5"/>
                <c:pt idx="0">
                  <c:v>57.71</c:v>
                </c:pt>
                <c:pt idx="1">
                  <c:v>58.52</c:v>
                </c:pt>
                <c:pt idx="2">
                  <c:v>75.52</c:v>
                </c:pt>
                <c:pt idx="3">
                  <c:v>70.2</c:v>
                </c:pt>
                <c:pt idx="4">
                  <c:v>67.97</c:v>
                </c:pt>
              </c:numCache>
            </c:numRef>
          </c:val>
        </c:ser>
        <c:marker val="1"/>
        <c:axId val="266795264"/>
        <c:axId val="266956800"/>
      </c:lineChart>
      <c:catAx>
        <c:axId val="266783744"/>
        <c:scaling>
          <c:orientation val="minMax"/>
        </c:scaling>
        <c:axPos val="b"/>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2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66793728"/>
        <c:crosses val="autoZero"/>
        <c:auto val="1"/>
        <c:lblAlgn val="ctr"/>
        <c:lblOffset val="100"/>
        <c:tickLblSkip val="1"/>
      </c:catAx>
      <c:valAx>
        <c:axId val="266793728"/>
        <c:scaling>
          <c:orientation val="minMax"/>
          <c:max val="80000"/>
        </c:scaling>
        <c:axPos val="l"/>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2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66783744"/>
        <c:crosses val="autoZero"/>
        <c:crossBetween val="between"/>
        <c:majorUnit val="20000"/>
      </c:valAx>
      <c:catAx>
        <c:axId val="266795264"/>
        <c:scaling>
          <c:orientation val="minMax"/>
        </c:scaling>
        <c:delete val="1"/>
        <c:axPos val="b"/>
        <c:numFmt formatCode="General" sourceLinked="1"/>
        <c:tickLblPos val="nextTo"/>
        <c:crossAx val="266956800"/>
        <c:crosses val="autoZero"/>
        <c:auto val="1"/>
        <c:lblAlgn val="ctr"/>
        <c:lblOffset val="100"/>
      </c:catAx>
      <c:valAx>
        <c:axId val="266956800"/>
        <c:scaling>
          <c:orientation val="minMax"/>
          <c:max val="80"/>
          <c:min val="0"/>
        </c:scaling>
        <c:axPos val="r"/>
        <c:numFmt formatCode="#,##0;[Red]\-#,##0" sourceLinked="0"/>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2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66795264"/>
        <c:crosses val="max"/>
        <c:crossBetween val="between"/>
        <c:majorUnit val="20"/>
        <c:minorUnit val="0.16"/>
      </c:valAx>
      <c:spPr>
        <a:noFill/>
        <a:ln w="3175">
          <a:noFill/>
        </a:ln>
      </c:spPr>
    </c:plotArea>
    <c:legend>
      <c:legendPos val="b"/>
      <c:layout>
        <c:manualLayout>
          <c:xMode val="edge"/>
          <c:yMode val="edge"/>
          <c:x val="0.10111231145611803"/>
          <c:y val="0.90918582146928617"/>
          <c:w val="0.837504965344678"/>
          <c:h val="6.4755958535486102E-2"/>
        </c:manualLayout>
      </c:layout>
      <c:spPr>
        <a:solidFill>
          <a:srgbClr val="FFFFFF"/>
        </a:solidFill>
        <a:ln w="25400">
          <a:noFill/>
        </a:ln>
      </c:spPr>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rot="0" wrap="square" anchor="ctr" anchorCtr="1"/>
    <a:lstStyle/>
    <a:p>
      <a:pPr>
        <a:defRPr lang="zh-CN" sz="125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9948401934745792E-2"/>
          <c:y val="5.5316546874964005E-2"/>
          <c:w val="0.83220253293581004"/>
          <c:h val="0.75413462540564002"/>
        </c:manualLayout>
      </c:layout>
      <c:barChart>
        <c:barDir val="col"/>
        <c:grouping val="clustered"/>
        <c:ser>
          <c:idx val="0"/>
          <c:order val="0"/>
          <c:tx>
            <c:strRef>
              <c:f>"年度发放额"</c:f>
              <c:strCache>
                <c:ptCount val="1"/>
                <c:pt idx="0">
                  <c:v>年度发放额</c:v>
                </c:pt>
              </c:strCache>
            </c:strRef>
          </c:tx>
          <c:spPr>
            <a:solidFill>
              <a:srgbClr val="7DE5F3">
                <a:alpha val="70000"/>
              </a:srgbClr>
            </a:solidFill>
            <a:ln w="25400">
              <a:noFill/>
            </a:ln>
          </c:spPr>
          <c:dLbls>
            <c:dLbl>
              <c:idx val="4"/>
              <c:tx>
                <c:rich>
                  <a:bodyPr rot="0" spcFirstLastPara="0" vertOverflow="ellipsis" vert="horz" wrap="square" lIns="38100" tIns="19050" rIns="38100" bIns="19050"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100"/>
                      <a:t>9534.85</a:t>
                    </a:r>
                    <a:endParaRPr sz="11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spPr>
                <a:noFill/>
                <a:ln w="25400">
                  <a:noFill/>
                </a:ln>
                <a:effectLst/>
              </c:spPr>
              <c:dLblPos val="outEnd"/>
              <c:showCatName val="1"/>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numRef>
              <c:f>'D:\Desktop\2017年度数据图表\[图3.贷款.xls]Sheet1'!$A$1:$A$5</c:f>
              <c:numCache>
                <c:formatCode>General</c:formatCode>
                <c:ptCount val="5"/>
                <c:pt idx="0">
                  <c:v>2013</c:v>
                </c:pt>
                <c:pt idx="1">
                  <c:v>2014</c:v>
                </c:pt>
                <c:pt idx="2">
                  <c:v>2015</c:v>
                </c:pt>
                <c:pt idx="3">
                  <c:v>2016</c:v>
                </c:pt>
                <c:pt idx="4">
                  <c:v>2017</c:v>
                </c:pt>
              </c:numCache>
            </c:numRef>
          </c:cat>
          <c:val>
            <c:numRef>
              <c:f>'D:\Desktop\2017年度数据图表\[图3.贷款.xls]Sheet1'!$B$1:$B$5</c:f>
              <c:numCache>
                <c:formatCode>General</c:formatCode>
                <c:ptCount val="5"/>
                <c:pt idx="0">
                  <c:v>7682.35</c:v>
                </c:pt>
                <c:pt idx="1">
                  <c:v>6593.02</c:v>
                </c:pt>
                <c:pt idx="2">
                  <c:v>11082.630000000003</c:v>
                </c:pt>
                <c:pt idx="3">
                  <c:v>12701.710000000003</c:v>
                </c:pt>
                <c:pt idx="4">
                  <c:v>9534.92</c:v>
                </c:pt>
              </c:numCache>
            </c:numRef>
          </c:val>
        </c:ser>
        <c:ser>
          <c:idx val="1"/>
          <c:order val="1"/>
          <c:tx>
            <c:strRef>
              <c:f>"贷款余额"</c:f>
              <c:strCache>
                <c:ptCount val="1"/>
                <c:pt idx="0">
                  <c:v>贷款余额</c:v>
                </c:pt>
              </c:strCache>
            </c:strRef>
          </c:tx>
          <c:spPr>
            <a:solidFill>
              <a:srgbClr val="0070C0">
                <a:alpha val="69804"/>
              </a:srgbClr>
            </a:solidFill>
            <a:ln w="25400">
              <a:noFill/>
            </a:ln>
          </c:spPr>
          <c:dLbls>
            <c:dLbl>
              <c:idx val="3"/>
              <c:layout>
                <c:manualLayout>
                  <c:x val="-1.724137931034481E-2"/>
                  <c:y val="2.9268292682926814E-2"/>
                </c:manualLayout>
              </c:layout>
              <c:dLblPos val="outEnd"/>
              <c:showVal val="1"/>
              <c:extLst>
                <c:ext xmlns:c15="http://schemas.microsoft.com/office/drawing/2012/chart" uri="{CE6537A1-D6FC-4f65-9D91-7224C49458BB}">
                  <c15:layout/>
                </c:ext>
              </c:extLst>
            </c:dLbl>
            <c:dLbl>
              <c:idx val="4"/>
              <c:layout>
                <c:manualLayout>
                  <c:x val="-2.4459554167289607E-2"/>
                  <c:y val="7.3182158730405109E-2"/>
                </c:manualLayout>
              </c:layout>
              <c:tx>
                <c:rich>
                  <a:bodyPr rot="0" spcFirstLastPara="0" vertOverflow="ellipsis" vert="horz" wrap="square" lIns="38100" tIns="19050" rIns="38100" bIns="19050"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45049.78</a:t>
                    </a:r>
                    <a:endParaRPr sz="11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spPr>
                <a:noFill/>
                <a:ln w="25400">
                  <a:noFill/>
                </a:ln>
                <a:effectLst/>
              </c:spPr>
              <c:dLblPos val="outEnd"/>
              <c:showCatName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numRef>
              <c:f>'D:\Desktop\2017年度数据图表\[图3.贷款.xls]Sheet1'!$A$1:$A$5</c:f>
              <c:numCache>
                <c:formatCode>General</c:formatCode>
                <c:ptCount val="5"/>
                <c:pt idx="0">
                  <c:v>2013</c:v>
                </c:pt>
                <c:pt idx="1">
                  <c:v>2014</c:v>
                </c:pt>
                <c:pt idx="2">
                  <c:v>2015</c:v>
                </c:pt>
                <c:pt idx="3">
                  <c:v>2016</c:v>
                </c:pt>
                <c:pt idx="4">
                  <c:v>2017</c:v>
                </c:pt>
              </c:numCache>
            </c:numRef>
          </c:cat>
          <c:val>
            <c:numRef>
              <c:f>'D:\Desktop\2017年度数据图表\[图3.贷款.xls]Sheet1'!$C$1:$C$5</c:f>
              <c:numCache>
                <c:formatCode>General</c:formatCode>
                <c:ptCount val="5"/>
                <c:pt idx="0">
                  <c:v>21733.21</c:v>
                </c:pt>
                <c:pt idx="1">
                  <c:v>25521.940000000006</c:v>
                </c:pt>
                <c:pt idx="2">
                  <c:v>32864.550000000003</c:v>
                </c:pt>
                <c:pt idx="3">
                  <c:v>40535.229999999996</c:v>
                </c:pt>
                <c:pt idx="4">
                  <c:v>45048</c:v>
                </c:pt>
              </c:numCache>
            </c:numRef>
          </c:val>
        </c:ser>
        <c:axId val="267096448"/>
        <c:axId val="267097984"/>
      </c:barChart>
      <c:lineChart>
        <c:grouping val="standard"/>
        <c:ser>
          <c:idx val="2"/>
          <c:order val="2"/>
          <c:tx>
            <c:strRef>
              <c:f>"个人住房贷款率"</c:f>
              <c:strCache>
                <c:ptCount val="1"/>
                <c:pt idx="0">
                  <c:v>个人住房贷款率</c:v>
                </c:pt>
              </c:strCache>
            </c:strRef>
          </c:tx>
          <c:spPr>
            <a:ln w="19050" cap="rnd" cmpd="sng" algn="ctr">
              <a:solidFill>
                <a:srgbClr val="D99694">
                  <a:lumMod val="60000"/>
                  <a:lumOff val="40000"/>
                </a:srgbClr>
              </a:solidFill>
              <a:prstDash val="solid"/>
              <a:round/>
            </a:ln>
          </c:spPr>
          <c:marker>
            <c:symbol val="square"/>
            <c:size val="5"/>
            <c:spPr>
              <a:solidFill>
                <a:srgbClr val="D99694">
                  <a:lumMod val="60000"/>
                  <a:lumOff val="40000"/>
                </a:srgbClr>
              </a:solidFill>
              <a:ln w="6350" cap="flat" cmpd="sng" algn="ctr">
                <a:solidFill>
                  <a:srgbClr val="D99694">
                    <a:lumMod val="60000"/>
                    <a:lumOff val="40000"/>
                  </a:srgbClr>
                </a:solidFill>
                <a:prstDash val="solid"/>
                <a:round/>
              </a:ln>
            </c:spPr>
          </c:marker>
          <c:dLbls>
            <c:dLbl>
              <c:idx val="0"/>
              <c:layout>
                <c:manualLayout>
                  <c:x val="-4.9002122293625029E-2"/>
                  <c:y val="-3.6605982236434804E-2"/>
                </c:manualLayout>
              </c:layout>
              <c:dLblPos val="r"/>
              <c:showVal val="1"/>
              <c:extLst>
                <c:ext xmlns:c15="http://schemas.microsoft.com/office/drawing/2012/chart" uri="{CE6537A1-D6FC-4f65-9D91-7224C49458BB}">
                  <c15:layout/>
                </c:ext>
              </c:extLst>
            </c:dLbl>
            <c:dLbl>
              <c:idx val="1"/>
              <c:layout>
                <c:manualLayout>
                  <c:x val="-4.5977011494252901E-2"/>
                  <c:y val="-5.1347288905959902E-2"/>
                </c:manualLayout>
              </c:layout>
              <c:dLblPos val="r"/>
              <c:showVal val="1"/>
              <c:extLst>
                <c:ext xmlns:c15="http://schemas.microsoft.com/office/drawing/2012/chart" uri="{CE6537A1-D6FC-4f65-9D91-7224C49458BB}">
                  <c15:layout/>
                </c:ext>
              </c:extLst>
            </c:dLbl>
            <c:dLbl>
              <c:idx val="2"/>
              <c:layout>
                <c:manualLayout>
                  <c:x val="-5.6537695719069608E-2"/>
                  <c:y val="-4.3365981691313019E-2"/>
                </c:manualLayout>
              </c:layout>
              <c:dLblPos val="r"/>
              <c:showVal val="1"/>
              <c:extLst>
                <c:ext xmlns:c15="http://schemas.microsoft.com/office/drawing/2012/chart" uri="{CE6537A1-D6FC-4f65-9D91-7224C49458BB}">
                  <c15:layout/>
                </c:ext>
              </c:extLst>
            </c:dLbl>
            <c:dLbl>
              <c:idx val="3"/>
              <c:layout>
                <c:manualLayout>
                  <c:x val="-1.6044925792218213E-2"/>
                  <c:y val="-3.4542308071694304E-2"/>
                </c:manualLayout>
              </c:layout>
              <c:dLblPos val="r"/>
              <c:showVal val="1"/>
              <c:extLst>
                <c:ext xmlns:c15="http://schemas.microsoft.com/office/drawing/2012/chart" uri="{CE6537A1-D6FC-4f65-9D91-7224C49458BB}">
                  <c15:layout/>
                </c:ext>
              </c:extLst>
            </c:dLbl>
            <c:dLbl>
              <c:idx val="4"/>
              <c:layout>
                <c:manualLayout>
                  <c:x val="-4.4143008900766424E-2"/>
                  <c:y val="-3.242651514941701E-2"/>
                </c:manualLayout>
              </c:layout>
              <c:tx>
                <c:rich>
                  <a:bodyPr rot="0" spcFirstLastPara="0" vertOverflow="ellipsis" vert="horz" wrap="square" lIns="38100" tIns="19050" rIns="38100" bIns="19050"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87.27</a:t>
                    </a:r>
                    <a:endParaRPr sz="11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spPr>
                <a:noFill/>
                <a:ln w="25400">
                  <a:noFill/>
                </a:ln>
                <a:effectLst/>
              </c:spPr>
              <c:dLblPos val="r"/>
              <c:showCatName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dLblPos val="r"/>
            <c:showVal val="1"/>
            <c:extLst>
              <c:ext xmlns:c15="http://schemas.microsoft.com/office/drawing/2012/chart" uri="{CE6537A1-D6FC-4f65-9D91-7224C49458BB}">
                <c15:layout/>
                <c15:showLeaderLines val="0"/>
                <c15:leaderLines/>
              </c:ext>
            </c:extLst>
          </c:dLbls>
          <c:cat>
            <c:numRef>
              <c:f>'D:\Desktop\2017年度数据图表\[图3.贷款.xls]Sheet1'!$A$1:$A$5</c:f>
              <c:numCache>
                <c:formatCode>General</c:formatCode>
                <c:ptCount val="5"/>
                <c:pt idx="0">
                  <c:v>2013</c:v>
                </c:pt>
                <c:pt idx="1">
                  <c:v>2014</c:v>
                </c:pt>
                <c:pt idx="2">
                  <c:v>2015</c:v>
                </c:pt>
                <c:pt idx="3">
                  <c:v>2016</c:v>
                </c:pt>
                <c:pt idx="4">
                  <c:v>2017</c:v>
                </c:pt>
              </c:numCache>
            </c:numRef>
          </c:cat>
          <c:val>
            <c:numRef>
              <c:f>'D:\Desktop\2017年度数据图表\[图3.贷款.xls]Sheet1'!$D$1:$D$5</c:f>
              <c:numCache>
                <c:formatCode>General</c:formatCode>
                <c:ptCount val="5"/>
                <c:pt idx="0">
                  <c:v>68.599999999999994</c:v>
                </c:pt>
                <c:pt idx="1">
                  <c:v>68.89</c:v>
                </c:pt>
                <c:pt idx="2">
                  <c:v>80.8</c:v>
                </c:pt>
                <c:pt idx="3">
                  <c:v>88.84</c:v>
                </c:pt>
                <c:pt idx="4">
                  <c:v>87.28</c:v>
                </c:pt>
              </c:numCache>
            </c:numRef>
          </c:val>
        </c:ser>
        <c:marker val="1"/>
        <c:axId val="267099520"/>
        <c:axId val="284824704"/>
      </c:lineChart>
      <c:catAx>
        <c:axId val="267096448"/>
        <c:scaling>
          <c:orientation val="minMax"/>
        </c:scaling>
        <c:axPos val="b"/>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67097984"/>
        <c:crosses val="autoZero"/>
        <c:auto val="1"/>
        <c:lblAlgn val="ctr"/>
        <c:lblOffset val="100"/>
        <c:tickLblSkip val="1"/>
      </c:catAx>
      <c:valAx>
        <c:axId val="267097984"/>
        <c:scaling>
          <c:orientation val="minMax"/>
          <c:max val="50000"/>
        </c:scaling>
        <c:axPos val="l"/>
        <c:numFmt formatCode="General" sourceLinked="1"/>
        <c:majorTickMark val="in"/>
        <c:tickLblPos val="nextTo"/>
        <c:spPr>
          <a:ln w="952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67096448"/>
        <c:crosses val="autoZero"/>
        <c:crossBetween val="between"/>
        <c:majorUnit val="10000"/>
      </c:valAx>
      <c:catAx>
        <c:axId val="267099520"/>
        <c:scaling>
          <c:orientation val="minMax"/>
        </c:scaling>
        <c:delete val="1"/>
        <c:axPos val="b"/>
        <c:numFmt formatCode="General" sourceLinked="1"/>
        <c:tickLblPos val="nextTo"/>
        <c:crossAx val="284824704"/>
        <c:crosses val="autoZero"/>
        <c:auto val="1"/>
        <c:lblAlgn val="ctr"/>
        <c:lblOffset val="100"/>
      </c:catAx>
      <c:valAx>
        <c:axId val="284824704"/>
        <c:scaling>
          <c:orientation val="minMax"/>
        </c:scaling>
        <c:axPos val="r"/>
        <c:numFmt formatCode="#,##0;[Red]\-#,##0" sourceLinked="0"/>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67099520"/>
        <c:crosses val="max"/>
        <c:crossBetween val="between"/>
      </c:valAx>
      <c:spPr>
        <a:noFill/>
        <a:ln w="3175">
          <a:noFill/>
        </a:ln>
      </c:spPr>
    </c:plotArea>
    <c:legend>
      <c:legendPos val="r"/>
      <c:legendEntry>
        <c:idx val="0"/>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2"/>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10555760776651603"/>
          <c:y val="0.91936224125624555"/>
          <c:w val="0.84050000000000002"/>
          <c:h val="7.350000000000001E-2"/>
        </c:manualLayout>
      </c:layout>
      <c:spPr>
        <a:solidFill>
          <a:srgbClr val="FFFFFF"/>
        </a:solidFill>
        <a:ln w="25400">
          <a:noFill/>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rot="0" wrap="square" anchor="ctr" anchorCtr="1"/>
    <a:lstStyle/>
    <a:p>
      <a:pPr>
        <a:defRPr lang="zh-CN" sz="1675"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style val="3"/>
  <c:chart>
    <c:autoTitleDeleted val="1"/>
    <c:plotArea>
      <c:layout>
        <c:manualLayout>
          <c:layoutTarget val="inner"/>
          <c:xMode val="edge"/>
          <c:yMode val="edge"/>
          <c:x val="0.118167330677291"/>
          <c:y val="4.4955904495590414E-2"/>
          <c:w val="0.8028950863213814"/>
          <c:h val="0.72449989244998947"/>
        </c:manualLayout>
      </c:layout>
      <c:barChart>
        <c:barDir val="col"/>
        <c:grouping val="clustered"/>
        <c:ser>
          <c:idx val="1"/>
          <c:order val="1"/>
          <c:tx>
            <c:strRef>
              <c:f>'C:\Users\ying\Desktop\2017年报\多数用图\[图4.实缴单位和实缴职工五年趋势.xls]Sheet1'!$D$2</c:f>
              <c:strCache>
                <c:ptCount val="1"/>
                <c:pt idx="0">
                  <c:v>实缴职工人数</c:v>
                </c:pt>
              </c:strCache>
            </c:strRef>
          </c:tx>
          <c:spPr>
            <a:solidFill>
              <a:srgbClr val="0070C0">
                <a:alpha val="69000"/>
              </a:srgbClr>
            </a:solidFill>
          </c:spPr>
          <c:dLbls>
            <c:dLbl>
              <c:idx val="1"/>
              <c:layout>
                <c:manualLayout>
                  <c:x val="2.0833333333333316E-3"/>
                  <c:y val="7.9879601759666616E-2"/>
                </c:manualLayout>
              </c:layout>
              <c:dLblPos val="outEnd"/>
              <c:showVal val="1"/>
              <c:extLst>
                <c:ext xmlns:c15="http://schemas.microsoft.com/office/drawing/2012/chart" uri="{CE6537A1-D6FC-4f65-9D91-7224C49458BB}">
                  <c15:layout/>
                </c:ext>
              </c:extLst>
            </c:dLbl>
            <c:dLbl>
              <c:idx val="2"/>
              <c:layout>
                <c:manualLayout>
                  <c:x val="1.2500000000000004E-2"/>
                  <c:y val="8.3352627923130335E-2"/>
                </c:manualLayout>
              </c:layout>
              <c:dLblPos val="outEnd"/>
              <c:showVal val="1"/>
              <c:extLst>
                <c:ext xmlns:c15="http://schemas.microsoft.com/office/drawing/2012/chart" uri="{CE6537A1-D6FC-4f65-9D91-7224C49458BB}">
                  <c15:layout/>
                </c:ext>
              </c:extLst>
            </c:dLbl>
            <c:dLbl>
              <c:idx val="3"/>
              <c:layout>
                <c:manualLayout>
                  <c:x val="2.0833333333333316E-3"/>
                  <c:y val="5.2095392451956504E-2"/>
                </c:manualLayout>
              </c:layout>
              <c:dLblPos val="outEnd"/>
              <c:showVal val="1"/>
              <c:extLst>
                <c:ext xmlns:c15="http://schemas.microsoft.com/office/drawing/2012/chart" uri="{CE6537A1-D6FC-4f65-9D91-7224C49458BB}">
                  <c15:layout/>
                </c:ext>
              </c:extLst>
            </c:dLbl>
            <c:dLbl>
              <c:idx val="4"/>
              <c:layout>
                <c:manualLayout>
                  <c:x val="-2.8884462151394412E-3"/>
                  <c:y val="0.17915489642184601"/>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mj-ea"/>
                    <a:ea typeface="+mj-ea"/>
                    <a:cs typeface="+mj-ea"/>
                    <a:sym typeface="+mj-ea"/>
                  </a:defRPr>
                </a:pPr>
                <a:endParaRPr lang="zh-CN"/>
              </a:p>
            </c:txPr>
            <c:dLblPos val="outEnd"/>
            <c:showVal val="1"/>
            <c:extLst>
              <c:ext xmlns:c15="http://schemas.microsoft.com/office/drawing/2012/chart" uri="{CE6537A1-D6FC-4f65-9D91-7224C49458BB}">
                <c15:layout/>
                <c15:showLeaderLines val="1"/>
                <c15:leaderLines/>
              </c:ext>
            </c:extLst>
          </c:dLbls>
          <c:cat>
            <c:numRef>
              <c:f>'C:\Users\ying\Desktop\2017年报\多数用图\[图4.实缴单位和实缴职工五年趋势.xls]Sheet1'!$B$3:$B$7</c:f>
              <c:numCache>
                <c:formatCode>General</c:formatCode>
                <c:ptCount val="5"/>
                <c:pt idx="0">
                  <c:v>2013</c:v>
                </c:pt>
                <c:pt idx="1">
                  <c:v>2014</c:v>
                </c:pt>
                <c:pt idx="2">
                  <c:v>2015</c:v>
                </c:pt>
                <c:pt idx="3">
                  <c:v>2016</c:v>
                </c:pt>
                <c:pt idx="4">
                  <c:v>2017</c:v>
                </c:pt>
              </c:numCache>
            </c:numRef>
          </c:cat>
          <c:val>
            <c:numRef>
              <c:f>'C:\Users\ying\Desktop\2017年报\多数用图\[图4.实缴单位和实缴职工五年趋势.xls]Sheet1'!$D$3:$D$7</c:f>
              <c:numCache>
                <c:formatCode>General</c:formatCode>
                <c:ptCount val="5"/>
                <c:pt idx="0">
                  <c:v>10835.740000000003</c:v>
                </c:pt>
                <c:pt idx="1">
                  <c:v>11877.39</c:v>
                </c:pt>
                <c:pt idx="2">
                  <c:v>12393.31</c:v>
                </c:pt>
                <c:pt idx="3">
                  <c:v>13064.5</c:v>
                </c:pt>
                <c:pt idx="4">
                  <c:v>13737.220000000003</c:v>
                </c:pt>
              </c:numCache>
            </c:numRef>
          </c:val>
        </c:ser>
        <c:dLbls>
          <c:showVal val="1"/>
        </c:dLbls>
        <c:axId val="267006720"/>
        <c:axId val="267008256"/>
      </c:barChart>
      <c:lineChart>
        <c:grouping val="standard"/>
        <c:ser>
          <c:idx val="0"/>
          <c:order val="0"/>
          <c:tx>
            <c:strRef>
              <c:f>'C:\Users\ying\Desktop\2017年报\多数用图\[图4.实缴单位和实缴职工五年趋势.xls]Sheet1'!$C$2</c:f>
              <c:strCache>
                <c:ptCount val="1"/>
                <c:pt idx="0">
                  <c:v>实缴单位数</c:v>
                </c:pt>
              </c:strCache>
            </c:strRef>
          </c:tx>
          <c:spPr>
            <a:ln w="19050" cap="rnd" cmpd="sng" algn="ctr">
              <a:solidFill>
                <a:srgbClr val="D99694">
                  <a:lumMod val="60000"/>
                  <a:lumOff val="40000"/>
                </a:srgbClr>
              </a:solidFill>
              <a:prstDash val="solid"/>
              <a:round/>
            </a:ln>
          </c:spPr>
          <c:marker>
            <c:spPr>
              <a:solidFill>
                <a:srgbClr val="D99694">
                  <a:lumMod val="60000"/>
                  <a:lumOff val="40000"/>
                </a:srgbClr>
              </a:solidFill>
            </c:spPr>
          </c:marker>
          <c:dLbls>
            <c:dLbl>
              <c:idx val="0"/>
              <c:tx>
                <c:rich>
                  <a:bodyPr/>
                  <a:lstStyle/>
                  <a:p>
                    <a:r>
                      <a:rPr sz="1200">
                        <a:latin typeface="+mj-ea"/>
                        <a:ea typeface="+mj-ea"/>
                        <a:cs typeface="+mj-ea"/>
                        <a:sym typeface="+mj-ea"/>
                      </a:rPr>
                      <a:t>181.</a:t>
                    </a:r>
                    <a:r>
                      <a:rPr lang="en-US" altLang="zh-CN" sz="1200">
                        <a:latin typeface="+mj-ea"/>
                        <a:ea typeface="+mj-ea"/>
                        <a:cs typeface="+mj-ea"/>
                        <a:sym typeface="+mj-ea"/>
                      </a:rPr>
                      <a:t>06</a:t>
                    </a:r>
                  </a:p>
                </c:rich>
              </c:tx>
              <c:dLblPos val="r"/>
              <c:showVal val="1"/>
              <c:extLst>
                <c:ext xmlns:c15="http://schemas.microsoft.com/office/drawing/2012/chart" uri="{CE6537A1-D6FC-4f65-9D91-7224C49458BB}"/>
              </c:extLst>
            </c:dLbl>
            <c:dLbl>
              <c:idx val="1"/>
              <c:tx>
                <c:rich>
                  <a:bodyPr/>
                  <a:lstStyle/>
                  <a:p>
                    <a:r>
                      <a:rPr sz="1200">
                        <a:latin typeface="+mj-ea"/>
                        <a:ea typeface="+mj-ea"/>
                        <a:cs typeface="+mj-ea"/>
                        <a:sym typeface="+mj-ea"/>
                      </a:rPr>
                      <a:t>206.5</a:t>
                    </a:r>
                    <a:r>
                      <a:rPr lang="en-US" altLang="zh-CN" sz="1200">
                        <a:latin typeface="+mj-ea"/>
                        <a:ea typeface="+mj-ea"/>
                        <a:cs typeface="+mj-ea"/>
                        <a:sym typeface="+mj-ea"/>
                      </a:rPr>
                      <a:t>0</a:t>
                    </a:r>
                  </a:p>
                </c:rich>
              </c:tx>
              <c:dLblPos val="r"/>
              <c:showVal val="1"/>
              <c:extLst>
                <c:ext xmlns:c15="http://schemas.microsoft.com/office/drawing/2012/chart" uri="{CE6537A1-D6FC-4f65-9D91-7224C49458BB}"/>
              </c:extLst>
            </c:dLbl>
            <c:dLbl>
              <c:idx val="4"/>
              <c:layout>
                <c:manualLayout>
                  <c:x val="-5.1792828685259015E-2"/>
                  <c:y val="-5.4237288135593226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mj-ea"/>
                    <a:ea typeface="+mj-ea"/>
                    <a:cs typeface="+mj-ea"/>
                    <a:sym typeface="+mj-ea"/>
                  </a:defRPr>
                </a:pPr>
                <a:endParaRPr lang="zh-CN"/>
              </a:p>
            </c:txPr>
            <c:dLblPos val="r"/>
            <c:showVal val="1"/>
            <c:extLst>
              <c:ext xmlns:c15="http://schemas.microsoft.com/office/drawing/2012/chart" uri="{CE6537A1-D6FC-4f65-9D91-7224C49458BB}">
                <c15:layout/>
                <c15:showLeaderLines val="1"/>
                <c15:leaderLines/>
              </c:ext>
            </c:extLst>
          </c:dLbls>
          <c:cat>
            <c:numRef>
              <c:f>'C:\Users\ying\Desktop\2017年报\多数用图\[图4.实缴单位和实缴职工五年趋势.xls]Sheet1'!$B$3:$B$7</c:f>
              <c:numCache>
                <c:formatCode>General</c:formatCode>
                <c:ptCount val="5"/>
                <c:pt idx="0">
                  <c:v>2013</c:v>
                </c:pt>
                <c:pt idx="1">
                  <c:v>2014</c:v>
                </c:pt>
                <c:pt idx="2">
                  <c:v>2015</c:v>
                </c:pt>
                <c:pt idx="3">
                  <c:v>2016</c:v>
                </c:pt>
                <c:pt idx="4">
                  <c:v>2017</c:v>
                </c:pt>
              </c:numCache>
            </c:numRef>
          </c:cat>
          <c:val>
            <c:numRef>
              <c:f>'C:\Users\ying\Desktop\2017年报\多数用图\[图4.实缴单位和实缴职工五年趋势.xls]Sheet1'!$C$3:$C$7</c:f>
              <c:numCache>
                <c:formatCode>General</c:formatCode>
                <c:ptCount val="5"/>
                <c:pt idx="0">
                  <c:v>181</c:v>
                </c:pt>
                <c:pt idx="1">
                  <c:v>206.5</c:v>
                </c:pt>
                <c:pt idx="2">
                  <c:v>231.35000000000005</c:v>
                </c:pt>
                <c:pt idx="3">
                  <c:v>238.25</c:v>
                </c:pt>
                <c:pt idx="4">
                  <c:v>262.33</c:v>
                </c:pt>
              </c:numCache>
            </c:numRef>
          </c:val>
        </c:ser>
        <c:dLbls>
          <c:showVal val="1"/>
        </c:dLbls>
        <c:marker val="1"/>
        <c:axId val="267030528"/>
        <c:axId val="267032064"/>
      </c:lineChart>
      <c:catAx>
        <c:axId val="267006720"/>
        <c:scaling>
          <c:orientation val="minMax"/>
        </c:scaling>
        <c:axPos val="b"/>
        <c:numFmt formatCode="General" sourceLinked="1"/>
        <c:majorTickMark val="in"/>
        <c:tickLblPos val="nextTo"/>
        <c:txPr>
          <a:bodyPr rot="-60000000" spcFirstLastPara="0" vertOverflow="ellipsis" vert="horz" wrap="square" anchor="ctr" anchorCtr="1"/>
          <a:lstStyle/>
          <a:p>
            <a:pPr>
              <a:defRPr lang="zh-CN" sz="1200" b="0" i="0" u="none" strike="noStrike" kern="1200" baseline="0">
                <a:solidFill>
                  <a:srgbClr val="000000"/>
                </a:solidFill>
                <a:latin typeface="+mj-ea"/>
                <a:ea typeface="+mj-ea"/>
                <a:cs typeface="+mj-ea"/>
                <a:sym typeface="+mj-ea"/>
              </a:defRPr>
            </a:pPr>
            <a:endParaRPr lang="zh-CN"/>
          </a:p>
        </c:txPr>
        <c:crossAx val="267008256"/>
        <c:crosses val="autoZero"/>
        <c:auto val="1"/>
        <c:lblAlgn val="ctr"/>
        <c:lblOffset val="100"/>
      </c:catAx>
      <c:valAx>
        <c:axId val="267008256"/>
        <c:scaling>
          <c:orientation val="minMax"/>
          <c:max val="15000"/>
          <c:min val="10000"/>
        </c:scaling>
        <c:axPos val="l"/>
        <c:majorGridlines>
          <c:spPr>
            <a:ln w="9525" cap="flat" cmpd="sng" algn="ctr">
              <a:noFill/>
              <a:prstDash val="solid"/>
              <a:round/>
            </a:ln>
          </c:spPr>
        </c:majorGridlines>
        <c:numFmt formatCode="General" sourceLinked="1"/>
        <c:majorTickMark val="in"/>
        <c:tickLblPos val="nextTo"/>
        <c:txPr>
          <a:bodyPr rot="-60000000" spcFirstLastPara="0" vertOverflow="ellipsis" vert="horz" wrap="square" anchor="ctr" anchorCtr="1"/>
          <a:lstStyle/>
          <a:p>
            <a:pPr>
              <a:defRPr lang="zh-CN" sz="1200" b="0" i="0" u="none" strike="noStrike" kern="1200" baseline="0">
                <a:solidFill>
                  <a:srgbClr val="000000"/>
                </a:solidFill>
                <a:latin typeface="+mj-ea"/>
                <a:ea typeface="+mj-ea"/>
                <a:cs typeface="+mj-ea"/>
                <a:sym typeface="+mj-ea"/>
              </a:defRPr>
            </a:pPr>
            <a:endParaRPr lang="zh-CN"/>
          </a:p>
        </c:txPr>
        <c:crossAx val="267006720"/>
        <c:crosses val="autoZero"/>
        <c:crossBetween val="between"/>
        <c:majorUnit val="1000"/>
      </c:valAx>
      <c:catAx>
        <c:axId val="267030528"/>
        <c:scaling>
          <c:orientation val="minMax"/>
        </c:scaling>
        <c:delete val="1"/>
        <c:axPos val="b"/>
        <c:numFmt formatCode="General" sourceLinked="1"/>
        <c:tickLblPos val="nextTo"/>
        <c:crossAx val="267032064"/>
        <c:crosses val="autoZero"/>
        <c:auto val="1"/>
        <c:lblAlgn val="ctr"/>
        <c:lblOffset val="100"/>
      </c:catAx>
      <c:valAx>
        <c:axId val="267032064"/>
        <c:scaling>
          <c:orientation val="minMax"/>
          <c:max val="280"/>
          <c:min val="100"/>
        </c:scaling>
        <c:axPos val="r"/>
        <c:numFmt formatCode="General" sourceLinked="1"/>
        <c:majorTickMark val="in"/>
        <c:tickLblPos val="nextTo"/>
        <c:txPr>
          <a:bodyPr rot="-60000000" spcFirstLastPara="0" vertOverflow="ellipsis" vert="horz" wrap="square" anchor="ctr" anchorCtr="1"/>
          <a:lstStyle/>
          <a:p>
            <a:pPr>
              <a:defRPr lang="zh-CN" sz="1200" b="0" i="0" u="none" strike="noStrike" kern="1200" baseline="0">
                <a:solidFill>
                  <a:srgbClr val="000000"/>
                </a:solidFill>
                <a:latin typeface="+mj-ea"/>
                <a:ea typeface="+mj-ea"/>
                <a:cs typeface="+mj-ea"/>
                <a:sym typeface="+mj-ea"/>
              </a:defRPr>
            </a:pPr>
            <a:endParaRPr lang="zh-CN"/>
          </a:p>
        </c:txPr>
        <c:crossAx val="267030528"/>
        <c:crosses val="max"/>
        <c:crossBetween val="between"/>
      </c:valAx>
      <c:spPr>
        <a:noFill/>
      </c:spPr>
    </c:plotArea>
    <c:legend>
      <c:legendPos val="b"/>
      <c:legendEntry>
        <c:idx val="0"/>
        <c:txPr>
          <a:bodyPr rot="0" spcFirstLastPara="0" vertOverflow="ellipsis" vert="horz" wrap="square" anchor="ctr" anchorCtr="1"/>
          <a:lstStyle/>
          <a:p>
            <a:pPr>
              <a:defRPr lang="zh-CN" sz="1200" b="0" i="0" u="none" strike="noStrike" kern="1200" baseline="0">
                <a:solidFill>
                  <a:srgbClr val="000000"/>
                </a:solidFill>
                <a:latin typeface="+mj-ea"/>
                <a:ea typeface="+mj-ea"/>
                <a:cs typeface="+mj-ea"/>
                <a:sym typeface="+mj-ea"/>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rgbClr val="000000"/>
                </a:solidFill>
                <a:latin typeface="+mj-ea"/>
                <a:ea typeface="+mj-ea"/>
                <a:cs typeface="+mj-ea"/>
                <a:sym typeface="+mj-ea"/>
              </a:defRPr>
            </a:pPr>
            <a:endParaRPr lang="zh-CN"/>
          </a:p>
        </c:txPr>
      </c:legendEntry>
      <c:txPr>
        <a:bodyPr rot="0" spcFirstLastPara="0" vertOverflow="ellipsis" vert="horz" wrap="square" anchor="ctr" anchorCtr="1"/>
        <a:lstStyle/>
        <a:p>
          <a:pPr>
            <a:defRPr lang="zh-CN" sz="1200" b="0" i="0" u="none" strike="noStrike" kern="1200" baseline="0">
              <a:solidFill>
                <a:srgbClr val="000000"/>
              </a:solidFill>
              <a:latin typeface="+mj-ea"/>
              <a:ea typeface="+mj-ea"/>
              <a:cs typeface="+mj-ea"/>
              <a:sym typeface="+mj-ea"/>
            </a:defRPr>
          </a:pPr>
          <a:endParaRPr lang="zh-CN"/>
        </a:p>
      </c:txPr>
    </c:legend>
    <c:plotVisOnly val="1"/>
    <c:dispBlanksAs val="gap"/>
  </c:chart>
  <c:spPr>
    <a:noFill/>
    <a:ln w="9525" cap="flat" cmpd="sng" algn="ctr">
      <a:noFill/>
      <a:prstDash val="solid"/>
      <a:round/>
    </a:ln>
  </c:spPr>
  <c:txPr>
    <a:bodyPr wrap="square"/>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26"/>
  <c:chart>
    <c:autoTitleDeleted val="1"/>
    <c:plotArea>
      <c:layout/>
      <c:doughnutChart>
        <c:varyColors val="1"/>
        <c:ser>
          <c:idx val="0"/>
          <c:order val="0"/>
          <c:spPr>
            <a:effectLst>
              <a:outerShdw blurRad="57150" dist="19050" dir="5400000" algn="ctr" rotWithShape="0">
                <a:srgbClr val="000000">
                  <a:alpha val="70000"/>
                </a:srgbClr>
              </a:outerShdw>
            </a:effectLst>
          </c:spPr>
          <c:explosion val="9"/>
          <c:dPt>
            <c:idx val="0"/>
            <c:spPr>
              <a:solidFill>
                <a:srgbClr val="953735">
                  <a:lumMod val="75000"/>
                </a:srgbClr>
              </a:solidFill>
              <a:effectLst>
                <a:outerShdw blurRad="57150" dist="19050" dir="5400000" algn="ctr" rotWithShape="0">
                  <a:srgbClr val="000000">
                    <a:alpha val="70000"/>
                  </a:srgbClr>
                </a:outerShdw>
              </a:effectLst>
            </c:spPr>
          </c:dPt>
          <c:dPt>
            <c:idx val="1"/>
            <c:spPr>
              <a:solidFill>
                <a:srgbClr val="D99694">
                  <a:lumMod val="60000"/>
                  <a:lumOff val="40000"/>
                </a:srgbClr>
              </a:solidFill>
              <a:effectLst>
                <a:outerShdw blurRad="57150" dist="19050" dir="5400000" algn="ctr" rotWithShape="0">
                  <a:srgbClr val="000000">
                    <a:alpha val="70000"/>
                  </a:srgbClr>
                </a:outerShdw>
              </a:effectLst>
            </c:spPr>
          </c:dPt>
          <c:dPt>
            <c:idx val="2"/>
            <c:spPr>
              <a:solidFill>
                <a:srgbClr val="E6B9B8">
                  <a:lumMod val="40000"/>
                  <a:lumOff val="60000"/>
                </a:srgbClr>
              </a:solidFill>
              <a:effectLst>
                <a:outerShdw blurRad="57150" dist="19050" dir="5400000" algn="ctr" rotWithShape="0">
                  <a:srgbClr val="000000">
                    <a:alpha val="70000"/>
                  </a:srgbClr>
                </a:outerShdw>
              </a:effectLst>
            </c:spPr>
          </c:dPt>
          <c:dPt>
            <c:idx val="3"/>
            <c:spPr>
              <a:solidFill>
                <a:srgbClr val="376092">
                  <a:lumMod val="75000"/>
                </a:srgbClr>
              </a:solidFill>
              <a:effectLst>
                <a:outerShdw blurRad="57150" dist="19050" dir="5400000" algn="ctr" rotWithShape="0">
                  <a:srgbClr val="000000">
                    <a:alpha val="70000"/>
                  </a:srgbClr>
                </a:outerShdw>
              </a:effectLst>
            </c:spPr>
          </c:dPt>
          <c:dPt>
            <c:idx val="5"/>
            <c:spPr>
              <a:solidFill>
                <a:srgbClr val="B9CDE5">
                  <a:lumMod val="40000"/>
                  <a:lumOff val="60000"/>
                </a:srgbClr>
              </a:solidFill>
              <a:effectLst>
                <a:outerShdw blurRad="57150" dist="19050" dir="5400000" algn="ctr" rotWithShape="0">
                  <a:srgbClr val="000000">
                    <a:alpha val="70000"/>
                  </a:srgbClr>
                </a:outerShdw>
              </a:effectLst>
            </c:spPr>
          </c:dPt>
          <c:dLbls>
            <c:dLbl>
              <c:idx val="0"/>
              <c:layout>
                <c:manualLayout>
                  <c:x val="0.12777777777777796"/>
                  <c:y val="-0.13888888888888901"/>
                </c:manualLayout>
              </c:layout>
              <c:showVal val="1"/>
              <c:showCatName val="1"/>
              <c:extLst>
                <c:ext xmlns:c15="http://schemas.microsoft.com/office/drawing/2012/chart" uri="{CE6537A1-D6FC-4f65-9D91-7224C49458BB}">
                  <c15:layout/>
                </c:ext>
              </c:extLst>
            </c:dLbl>
            <c:dLbl>
              <c:idx val="1"/>
              <c:layout>
                <c:manualLayout>
                  <c:x val="0.163888888888889"/>
                  <c:y val="-1.8518883056284602E-2"/>
                </c:manualLayout>
              </c:layout>
              <c:showVal val="1"/>
              <c:showCatName val="1"/>
              <c:extLst>
                <c:ext xmlns:c15="http://schemas.microsoft.com/office/drawing/2012/chart" uri="{CE6537A1-D6FC-4f65-9D91-7224C49458BB}">
                  <c15:layout/>
                </c:ext>
              </c:extLst>
            </c:dLbl>
            <c:dLbl>
              <c:idx val="2"/>
              <c:layout>
                <c:manualLayout>
                  <c:x val="0.16666666666666696"/>
                  <c:y val="8.3333333333333329E-2"/>
                </c:manualLayout>
              </c:layout>
              <c:showVal val="1"/>
              <c:showCatName val="1"/>
              <c:extLst>
                <c:ext xmlns:c15="http://schemas.microsoft.com/office/drawing/2012/chart" uri="{CE6537A1-D6FC-4f65-9D91-7224C49458BB}">
                  <c15:layout/>
                </c:ext>
              </c:extLst>
            </c:dLbl>
            <c:dLbl>
              <c:idx val="3"/>
              <c:layout>
                <c:manualLayout>
                  <c:x val="0.125"/>
                  <c:y val="0.1296296296296299"/>
                </c:manualLayout>
              </c:layout>
              <c:showVal val="1"/>
              <c:showCatName val="1"/>
              <c:extLst>
                <c:ext xmlns:c15="http://schemas.microsoft.com/office/drawing/2012/chart" uri="{CE6537A1-D6FC-4f65-9D91-7224C49458BB}">
                  <c15:layout/>
                </c:ext>
              </c:extLst>
            </c:dLbl>
            <c:dLbl>
              <c:idx val="4"/>
              <c:layout>
                <c:manualLayout>
                  <c:x val="-0.17222222222222205"/>
                  <c:y val="5.555555555555549E-2"/>
                </c:manualLayout>
              </c:layout>
              <c:showVal val="1"/>
              <c:showCatName val="1"/>
              <c:extLst>
                <c:ext xmlns:c15="http://schemas.microsoft.com/office/drawing/2012/chart" uri="{CE6537A1-D6FC-4f65-9D91-7224C49458BB}">
                  <c15:layout/>
                </c:ext>
              </c:extLst>
            </c:dLbl>
            <c:dLbl>
              <c:idx val="5"/>
              <c:layout>
                <c:manualLayout>
                  <c:x val="-0.15000000000000005"/>
                  <c:y val="-8.7962962962963034E-2"/>
                </c:manualLayout>
              </c:layout>
              <c:showVal val="1"/>
              <c:showCatName val="1"/>
              <c:extLst>
                <c:ext xmlns:c15="http://schemas.microsoft.com/office/drawing/2012/chart" uri="{CE6537A1-D6FC-4f65-9D91-7224C49458BB}">
                  <c15:layout/>
                </c:ext>
              </c:extLst>
            </c:dLbl>
            <c:dLbl>
              <c:idx val="6"/>
              <c:layout>
                <c:manualLayout>
                  <c:x val="-4.4444444444444502E-2"/>
                  <c:y val="-0.14814814814814806"/>
                </c:manualLayout>
              </c:layout>
              <c:showVal val="1"/>
              <c:showCatNam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showVal val="1"/>
            <c:showCatName val="1"/>
            <c:showLeaderLines val="1"/>
            <c:extLst>
              <c:ext xmlns:c15="http://schemas.microsoft.com/office/drawing/2012/chart" uri="{CE6537A1-D6FC-4f65-9D91-7224C49458BB}">
                <c15:layout/>
                <c15:showLeaderLines val="1"/>
                <c15:leaderLines/>
              </c:ext>
            </c:extLst>
          </c:dLbls>
          <c:cat>
            <c:strRef>
              <c:f>[图7.8.单位性质分职工.xlsx]缴存!$E$2:$K$2</c:f>
              <c:strCache>
                <c:ptCount val="7"/>
                <c:pt idx="0">
                  <c:v>国家机关和事业单位</c:v>
                </c:pt>
                <c:pt idx="1">
                  <c:v>国有企业</c:v>
                </c:pt>
                <c:pt idx="2">
                  <c:v>城镇集体企业</c:v>
                </c:pt>
                <c:pt idx="3">
                  <c:v>外商投资企业</c:v>
                </c:pt>
                <c:pt idx="4">
                  <c:v>城镇私营企业及其他城镇企业</c:v>
                </c:pt>
                <c:pt idx="5">
                  <c:v>民办非企业单位和社会团体</c:v>
                </c:pt>
                <c:pt idx="6">
                  <c:v>其他</c:v>
                </c:pt>
              </c:strCache>
            </c:strRef>
          </c:cat>
          <c:val>
            <c:numRef>
              <c:f>[图7.8.单位性质分职工.xlsx]缴存!$E$8:$K$8</c:f>
              <c:numCache>
                <c:formatCode>0.00%</c:formatCode>
                <c:ptCount val="7"/>
                <c:pt idx="0">
                  <c:v>0.15157962675301395</c:v>
                </c:pt>
                <c:pt idx="1">
                  <c:v>0.117859408843284</c:v>
                </c:pt>
                <c:pt idx="2">
                  <c:v>1.6835495657120413E-2</c:v>
                </c:pt>
                <c:pt idx="3">
                  <c:v>0.13165926444527101</c:v>
                </c:pt>
                <c:pt idx="4">
                  <c:v>0.47286520664230902</c:v>
                </c:pt>
                <c:pt idx="5">
                  <c:v>2.4487496444745908E-2</c:v>
                </c:pt>
                <c:pt idx="6">
                  <c:v>8.4600000000000036E-2</c:v>
                </c:pt>
              </c:numCache>
            </c:numRef>
          </c:val>
        </c:ser>
        <c:firstSliceAng val="0"/>
        <c:holeSize val="50"/>
      </c:doughnutChart>
    </c:plotArea>
    <c:plotVisOnly val="1"/>
    <c:dispBlanksAs val="zero"/>
  </c:chart>
  <c:spPr>
    <a:ln w="6350" cap="flat" cmpd="sng" algn="ctr">
      <a:noFill/>
      <a:prstDash val="solid"/>
      <a:round/>
    </a:ln>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percentStacked"/>
        <c:ser>
          <c:idx val="0"/>
          <c:order val="0"/>
          <c:tx>
            <c:strRef>
              <c:f>"中低收入/首套住房/144平方米及以下/40岁及以下"</c:f>
              <c:strCache>
                <c:ptCount val="1"/>
                <c:pt idx="0">
                  <c:v>中低收入/首套住房/144平方米及以下/40岁及以下</c:v>
                </c:pt>
              </c:strCache>
            </c:strRef>
          </c:tx>
          <c:spPr>
            <a:solidFill>
              <a:srgbClr val="0070C0">
                <a:alpha val="70000"/>
              </a:srgbClr>
            </a:solidFill>
          </c:spPr>
          <c:dLbls>
            <c:dLbl>
              <c:idx val="2"/>
              <c:tx>
                <c:rich>
                  <a:bodyPr/>
                  <a:lstStyle/>
                  <a:p>
                    <a:r>
                      <a:t>89.2</a:t>
                    </a:r>
                    <a:r>
                      <a:rPr lang="en-US" altLang="zh-CN"/>
                      <a:t>0</a:t>
                    </a:r>
                  </a:p>
                </c:rich>
              </c:tx>
              <c:dLblPos val="ctr"/>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ext>
            </c:extLst>
          </c:dLbls>
          <c:cat>
            <c:strRef>
              <c:f>'C:\Users\ying\Desktop\2017年报\多数用图\[贷款笔数按收入、面积等分.xlsx]Sheet1'!$A$3:$A$6</c:f>
              <c:strCache>
                <c:ptCount val="4"/>
                <c:pt idx="0">
                  <c:v>按收入分</c:v>
                </c:pt>
                <c:pt idx="1">
                  <c:v>按套数分</c:v>
                </c:pt>
                <c:pt idx="2">
                  <c:v>按面积分</c:v>
                </c:pt>
                <c:pt idx="3">
                  <c:v>按年龄分</c:v>
                </c:pt>
              </c:strCache>
            </c:strRef>
          </c:cat>
          <c:val>
            <c:numRef>
              <c:f>'C:\Users\ying\Desktop\2017年报\多数用图\[贷款笔数按收入、面积等分.xlsx]Sheet1'!$B$3:$B$6</c:f>
              <c:numCache>
                <c:formatCode>General</c:formatCode>
                <c:ptCount val="4"/>
                <c:pt idx="0">
                  <c:v>96.05</c:v>
                </c:pt>
                <c:pt idx="1">
                  <c:v>86.240000000000023</c:v>
                </c:pt>
                <c:pt idx="2">
                  <c:v>89.2</c:v>
                </c:pt>
                <c:pt idx="3">
                  <c:v>74.13</c:v>
                </c:pt>
              </c:numCache>
            </c:numRef>
          </c:val>
        </c:ser>
        <c:ser>
          <c:idx val="1"/>
          <c:order val="1"/>
          <c:tx>
            <c:strRef>
              <c:f>"高收入/二套及以上/144平方米以上/40岁以上"</c:f>
              <c:strCache>
                <c:ptCount val="1"/>
                <c:pt idx="0">
                  <c:v>高收入/二套及以上/144平方米以上/40岁以上</c:v>
                </c:pt>
              </c:strCache>
            </c:strRef>
          </c:tx>
          <c:spPr>
            <a:solidFill>
              <a:srgbClr val="7DE5F3">
                <a:alpha val="70000"/>
              </a:srgbClr>
            </a:solidFill>
          </c:spPr>
          <c:dLbls>
            <c:dLbl>
              <c:idx val="2"/>
              <c:tx>
                <c:rich>
                  <a:bodyPr/>
                  <a:lstStyle/>
                  <a:p>
                    <a:r>
                      <a:t>10.8</a:t>
                    </a:r>
                    <a:r>
                      <a:rPr lang="en-US" altLang="zh-CN"/>
                      <a:t>0</a:t>
                    </a:r>
                  </a:p>
                </c:rich>
              </c:tx>
              <c:dLblPos val="ctr"/>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ext>
            </c:extLst>
          </c:dLbls>
          <c:cat>
            <c:strRef>
              <c:f>'C:\Users\ying\Desktop\2017年报\多数用图\[贷款笔数按收入、面积等分.xlsx]Sheet1'!$A$3:$A$6</c:f>
              <c:strCache>
                <c:ptCount val="4"/>
                <c:pt idx="0">
                  <c:v>按收入分</c:v>
                </c:pt>
                <c:pt idx="1">
                  <c:v>按套数分</c:v>
                </c:pt>
                <c:pt idx="2">
                  <c:v>按面积分</c:v>
                </c:pt>
                <c:pt idx="3">
                  <c:v>按年龄分</c:v>
                </c:pt>
              </c:strCache>
            </c:strRef>
          </c:cat>
          <c:val>
            <c:numRef>
              <c:f>'C:\Users\ying\Desktop\2017年报\多数用图\[贷款笔数按收入、面积等分.xlsx]Sheet1'!$C$3:$C$6</c:f>
              <c:numCache>
                <c:formatCode>General</c:formatCode>
                <c:ptCount val="4"/>
                <c:pt idx="0">
                  <c:v>3.9499999999999997</c:v>
                </c:pt>
                <c:pt idx="1">
                  <c:v>13.76</c:v>
                </c:pt>
                <c:pt idx="2">
                  <c:v>10.8</c:v>
                </c:pt>
                <c:pt idx="3">
                  <c:v>25.87</c:v>
                </c:pt>
              </c:numCache>
            </c:numRef>
          </c:val>
        </c:ser>
        <c:overlap val="100"/>
        <c:axId val="115952256"/>
        <c:axId val="115970432"/>
      </c:barChart>
      <c:catAx>
        <c:axId val="115952256"/>
        <c:scaling>
          <c:orientation val="minMax"/>
        </c:scaling>
        <c:axPos val="l"/>
        <c:majorTickMark val="in"/>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5970432"/>
        <c:crosses val="autoZero"/>
        <c:auto val="1"/>
        <c:lblAlgn val="ctr"/>
        <c:lblOffset val="100"/>
      </c:catAx>
      <c:valAx>
        <c:axId val="115970432"/>
        <c:scaling>
          <c:orientation val="minMax"/>
          <c:min val="0"/>
        </c:scaling>
        <c:axPos val="b"/>
        <c:majorGridlines/>
        <c:numFmt formatCode="0%" sourceLinked="1"/>
        <c:majorTickMark val="in"/>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115952256"/>
        <c:crosses val="autoZero"/>
        <c:crossBetween val="between"/>
      </c:valAx>
      <c:spPr>
        <a:noFill/>
      </c:spPr>
    </c:plotArea>
    <c:legend>
      <c:legendPos val="b"/>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chart>
  <c:spPr>
    <a:noFill/>
    <a:ln w="9525" cap="flat" cmpd="sng" algn="ctr">
      <a:noFill/>
      <a:prstDash val="solid"/>
      <a:round/>
    </a:ln>
  </c:spPr>
  <c:txPr>
    <a:bodyPr wrap="square"/>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8661551007312505"/>
          <c:y val="9.2310138062010494E-2"/>
          <c:w val="0.68109817342441725"/>
          <c:h val="0.81537972387597901"/>
        </c:manualLayout>
      </c:layout>
      <c:pieChart>
        <c:varyColors val="1"/>
        <c:ser>
          <c:idx val="1"/>
          <c:order val="1"/>
          <c:tx>
            <c:strRef>
              <c:f>"系列2"</c:f>
              <c:strCache>
                <c:ptCount val="1"/>
                <c:pt idx="0">
                  <c:v>系列2</c:v>
                </c:pt>
              </c:strCache>
            </c:strRef>
          </c:tx>
          <c:spPr>
            <a:scene3d>
              <a:camera prst="orthographicFront"/>
              <a:lightRig rig="threePt" dir="t"/>
            </a:scene3d>
            <a:sp3d>
              <a:bevelT w="0" h="0"/>
            </a:sp3d>
          </c:spPr>
          <c:dPt>
            <c:idx val="0"/>
            <c:spPr>
              <a:solidFill>
                <a:srgbClr val="CCC1DA">
                  <a:lumMod val="40000"/>
                  <a:lumOff val="60000"/>
                </a:srgbClr>
              </a:solidFill>
              <a:scene3d>
                <a:camera prst="orthographicFront"/>
                <a:lightRig rig="threePt" dir="t"/>
              </a:scene3d>
              <a:sp3d>
                <a:bevelT w="0" h="0"/>
              </a:sp3d>
            </c:spPr>
          </c:dPt>
          <c:dPt>
            <c:idx val="1"/>
            <c:spPr>
              <a:solidFill>
                <a:srgbClr val="D99694">
                  <a:lumMod val="60000"/>
                  <a:lumOff val="40000"/>
                </a:srgbClr>
              </a:solidFill>
              <a:scene3d>
                <a:camera prst="orthographicFront"/>
                <a:lightRig rig="threePt" dir="t"/>
              </a:scene3d>
              <a:sp3d>
                <a:bevelT w="0" h="0"/>
              </a:sp3d>
            </c:spPr>
          </c:dPt>
          <c:dPt>
            <c:idx val="2"/>
            <c:spPr>
              <a:solidFill>
                <a:srgbClr val="C4BD97">
                  <a:lumMod val="75000"/>
                  <a:alpha val="97000"/>
                </a:srgbClr>
              </a:solidFill>
              <a:scene3d>
                <a:camera prst="orthographicFront"/>
                <a:lightRig rig="threePt" dir="t"/>
              </a:scene3d>
              <a:sp3d>
                <a:bevelT w="0" h="0"/>
              </a:sp3d>
            </c:spPr>
          </c:dPt>
          <c:dPt>
            <c:idx val="3"/>
            <c:spPr>
              <a:solidFill>
                <a:srgbClr val="00B050"/>
              </a:solidFill>
              <a:scene3d>
                <a:camera prst="orthographicFront"/>
                <a:lightRig rig="threePt" dir="t"/>
              </a:scene3d>
              <a:sp3d>
                <a:bevelT w="0" h="0"/>
              </a:sp3d>
            </c:spPr>
          </c:dPt>
          <c:dLbls>
            <c:dLbl>
              <c:idx val="0"/>
              <c:delete val="1"/>
            </c:dLbl>
            <c:dLbl>
              <c:idx val="1"/>
              <c:layout>
                <c:manualLayout>
                  <c:x val="4.2599182742225107E-2"/>
                  <c:y val="-6.5466999551885327E-2"/>
                </c:manualLayout>
              </c:layout>
              <c:tx>
                <c:rich>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rPr>
                      <a:t>偿还购房贷款本息，</a:t>
                    </a:r>
                    <a:r>
                      <a:rPr lang="en-US" altLang="en-US" sz="12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43.48%</a:t>
                    </a:r>
                    <a:endParaRPr lang="en-US"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spPr>
                <a:noFill/>
                <a:ln>
                  <a:noFill/>
                </a:ln>
                <a:effectLst/>
                <a:scene3d>
                  <a:camera prst="orthographicFront"/>
                  <a:lightRig rig="threePt" dir="t"/>
                </a:scene3d>
                <a:sp3d>
                  <a:bevelT/>
                </a:sp3d>
              </c:spPr>
              <c:dLblPos val="bestFit"/>
              <c:showCatName val="1"/>
              <c:extLst>
                <c:ext xmlns:c15="http://schemas.microsoft.com/office/drawing/2012/chart" uri="{CE6537A1-D6FC-4f65-9D91-7224C49458BB}">
                  <c15:layout/>
                </c:ext>
              </c:extLst>
            </c:dLbl>
            <c:dLbl>
              <c:idx val="2"/>
              <c:layout>
                <c:manualLayout>
                  <c:x val="8.3651669496321537E-2"/>
                  <c:y val="3.6357172922994008E-2"/>
                </c:manualLayout>
              </c:layout>
              <c:tx>
                <c:rich>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rPr>
                      <a:t>购买、翻建、大修自住住房，</a:t>
                    </a:r>
                    <a:r>
                      <a:rPr lang="en-US" altLang="en-US" sz="12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30.85%</a:t>
                    </a:r>
                    <a:endParaRPr lang="en-US"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spPr>
                <a:noFill/>
                <a:ln>
                  <a:noFill/>
                </a:ln>
                <a:effectLst/>
                <a:scene3d>
                  <a:camera prst="orthographicFront"/>
                  <a:lightRig rig="threePt" dir="t"/>
                </a:scene3d>
                <a:sp3d>
                  <a:bevelT/>
                </a:sp3d>
              </c:spPr>
              <c:dLblPos val="bestFit"/>
              <c:showCatName val="1"/>
              <c:extLst>
                <c:ext xmlns:c15="http://schemas.microsoft.com/office/drawing/2012/chart" uri="{CE6537A1-D6FC-4f65-9D91-7224C49458BB}">
                  <c15:layout/>
                </c:ext>
              </c:extLst>
            </c:dLbl>
            <c:dLbl>
              <c:idx val="3"/>
              <c:layout>
                <c:manualLayout>
                  <c:x val="-1.7104305085803111E-2"/>
                  <c:y val="0.115748973316944"/>
                </c:manualLayout>
              </c:layout>
              <c:tx>
                <c:rich>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rPr>
                      <a:t>租赁住房，</a:t>
                    </a:r>
                    <a:r>
                      <a:rPr lang="en-US" altLang="en-US" sz="12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3.49%</a:t>
                    </a:r>
                    <a:endParaRPr lang="en-US"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spPr>
                <a:noFill/>
                <a:ln>
                  <a:noFill/>
                </a:ln>
                <a:effectLst/>
                <a:scene3d>
                  <a:camera prst="orthographicFront"/>
                  <a:lightRig rig="threePt" dir="t"/>
                </a:scene3d>
                <a:sp3d>
                  <a:bevelT/>
                </a:sp3d>
              </c:spPr>
              <c:dLblPos val="bestFit"/>
              <c:showCatName val="1"/>
              <c:extLst>
                <c:ext xmlns:c15="http://schemas.microsoft.com/office/drawing/2012/chart" uri="{CE6537A1-D6FC-4f65-9D91-7224C49458BB}">
                  <c15:layout/>
                </c:ext>
              </c:extLst>
            </c:dLbl>
            <c:dLbl>
              <c:idx val="4"/>
              <c:layout>
                <c:manualLayout>
                  <c:x val="4.829681519012162E-2"/>
                  <c:y val="-1.3774192860038803E-3"/>
                </c:manualLayout>
              </c:layout>
              <c:tx>
                <c:rich>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rPr>
                      <a:t>其他，</a:t>
                    </a:r>
                    <a:r>
                      <a:rPr lang="en-US" altLang="zh-CN" sz="12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1.67</a:t>
                    </a:r>
                    <a:r>
                      <a:rPr lang="en-US" altLang="en-US" sz="12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a:t>
                    </a:r>
                    <a:endParaRPr lang="en-US"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spPr>
                <a:noFill/>
                <a:ln>
                  <a:noFill/>
                </a:ln>
                <a:effectLst/>
                <a:scene3d>
                  <a:camera prst="orthographicFront"/>
                  <a:lightRig rig="threePt" dir="t"/>
                </a:scene3d>
                <a:sp3d>
                  <a:bevelT/>
                </a:sp3d>
              </c:spPr>
              <c:dLblPos val="bestFit"/>
              <c:showCatName val="1"/>
              <c:extLst>
                <c:ext xmlns:c15="http://schemas.microsoft.com/office/drawing/2012/chart" uri="{CE6537A1-D6FC-4f65-9D91-7224C49458BB}">
                  <c15:layout/>
                </c:ext>
              </c:extLst>
            </c:dLbl>
            <c:spPr>
              <a:noFill/>
              <a:ln>
                <a:noFill/>
              </a:ln>
              <a:effectLst/>
              <a:scene3d>
                <a:camera prst="orthographicFront"/>
                <a:lightRig rig="threePt" dir="t"/>
              </a:scene3d>
              <a:sp3d>
                <a:bevelT/>
              </a:sp3d>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mn-lt"/>
                    <a:ea typeface="+mn-ea"/>
                    <a:cs typeface="+mn-cs"/>
                  </a:defRPr>
                </a:pPr>
                <a:endParaRPr lang="zh-CN"/>
              </a:p>
            </c:txPr>
            <c:dLblPos val="bestFit"/>
            <c:showVal val="1"/>
            <c:extLst>
              <c:ext xmlns:c15="http://schemas.microsoft.com/office/drawing/2012/chart" uri="{CE6537A1-D6FC-4f65-9D91-7224C49458BB}">
                <c15:layout/>
                <c15:showLeaderLines val="0"/>
                <c15:leaderLines/>
              </c:ext>
            </c:extLst>
          </c:dLbls>
          <c:val>
            <c:numRef>
              <c:f>'C:\Desktop\年报图表\[图9.提取分类.xls]Sheet1'!$D$1:$D$5</c:f>
              <c:numCache>
                <c:formatCode>General</c:formatCode>
                <c:ptCount val="5"/>
                <c:pt idx="0">
                  <c:v>0.2051</c:v>
                </c:pt>
                <c:pt idx="1">
                  <c:v>0.43480000000000013</c:v>
                </c:pt>
                <c:pt idx="2">
                  <c:v>0.30850000000000011</c:v>
                </c:pt>
                <c:pt idx="3">
                  <c:v>3.49E-2</c:v>
                </c:pt>
                <c:pt idx="4">
                  <c:v>1.6700000000000007E-2</c:v>
                </c:pt>
              </c:numCache>
            </c:numRef>
          </c:val>
        </c:ser>
        <c:firstSliceAng val="0"/>
      </c:pieChart>
      <c:pieChart>
        <c:varyColors val="1"/>
        <c:ser>
          <c:idx val="0"/>
          <c:order val="0"/>
          <c:spPr>
            <a:solidFill>
              <a:srgbClr val="0070C0"/>
            </a:solidFill>
            <a:scene3d>
              <a:camera prst="orthographicFront"/>
              <a:lightRig rig="threePt" dir="t"/>
            </a:scene3d>
            <a:sp3d>
              <a:bevelT w="0" h="0"/>
            </a:sp3d>
          </c:spPr>
          <c:explosion val="46"/>
          <c:dPt>
            <c:idx val="0"/>
            <c:explosion val="0"/>
            <c:spPr>
              <a:solidFill>
                <a:srgbClr val="CCC1DA">
                  <a:lumMod val="40000"/>
                  <a:lumOff val="60000"/>
                </a:srgbClr>
              </a:solidFill>
              <a:scene3d>
                <a:camera prst="orthographicFront"/>
                <a:lightRig rig="threePt" dir="t"/>
              </a:scene3d>
              <a:sp3d>
                <a:bevelT w="0" h="0"/>
              </a:sp3d>
            </c:spPr>
          </c:dPt>
          <c:dPt>
            <c:idx val="1"/>
            <c:explosion val="0"/>
            <c:spPr>
              <a:solidFill>
                <a:srgbClr val="4F81BD"/>
              </a:solidFill>
              <a:scene3d>
                <a:camera prst="orthographicFront"/>
                <a:lightRig rig="threePt" dir="t"/>
              </a:scene3d>
              <a:sp3d>
                <a:bevelT w="0" h="0"/>
              </a:sp3d>
            </c:spPr>
          </c:dPt>
          <c:dLbls>
            <c:dLbl>
              <c:idx val="0"/>
              <c:layout>
                <c:manualLayout>
                  <c:x val="-5.002518838371009E-2"/>
                  <c:y val="0.12205643041310703"/>
                </c:manualLayout>
              </c:layout>
              <c:tx>
                <c:rich>
                  <a:bodyPr rot="0" spcFirstLastPara="0" vertOverflow="ellipsis" vert="horz" wrap="square" lIns="38100" tIns="19050" rIns="38100" bIns="19050" anchor="ctr" anchorCtr="1"/>
                  <a:lstStyle/>
                  <a:p>
                    <a:pPr>
                      <a:defRPr lang="zh-CN" sz="15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rPr>
                      <a:t>非住房消费类提取</a:t>
                    </a:r>
                    <a:r>
                      <a:rPr lang="en-US" altLang="zh-CN" sz="12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20.51%</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spPr>
                <a:noFill/>
                <a:ln>
                  <a:noFill/>
                </a:ln>
                <a:effectLst/>
                <a:scene3d>
                  <a:camera prst="orthographicFront"/>
                  <a:lightRig rig="threePt" dir="t"/>
                </a:scene3d>
                <a:sp3d>
                  <a:bevelT/>
                </a:sp3d>
              </c:spPr>
              <c:dLblPos val="bestFit"/>
              <c:showCatName val="1"/>
              <c:extLst>
                <c:ext xmlns:c15="http://schemas.microsoft.com/office/drawing/2012/chart" uri="{CE6537A1-D6FC-4f65-9D91-7224C49458BB}">
                  <c15:layout/>
                </c:ext>
              </c:extLst>
            </c:dLbl>
            <c:dLbl>
              <c:idx val="1"/>
              <c:layout>
                <c:manualLayout>
                  <c:x val="0.1567524475399831"/>
                  <c:y val="-0.21583441168265605"/>
                </c:manualLayout>
              </c:layout>
              <c:tx>
                <c:rich>
                  <a:bodyPr rot="0" spcFirstLastPara="0" vertOverflow="ellipsis" vert="horz" wrap="square" lIns="38100" tIns="19050" rIns="38100" bIns="19050" anchor="ctr" anchorCtr="1"/>
                  <a:lstStyle/>
                  <a:p>
                    <a:pPr>
                      <a:defRPr lang="zh-CN" sz="15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FFFFFF"/>
                        </a:solidFill>
                        <a:latin typeface="宋体" panose="02010600030101010101" charset="-122"/>
                        <a:ea typeface="宋体" panose="02010600030101010101" charset="-122"/>
                        <a:cs typeface="宋体" panose="02010600030101010101" charset="-122"/>
                      </a:rPr>
                      <a:t>住房消费类提取</a:t>
                    </a:r>
                    <a:r>
                      <a:rPr lang="en-US" altLang="zh-CN" sz="1200" b="0" i="0" u="none" strike="noStrike" baseline="0">
                        <a:solidFill>
                          <a:srgbClr val="FFFFFF"/>
                        </a:solidFill>
                        <a:latin typeface="Calibri" panose="020F0502020204030204" pitchFamily="2" charset="0"/>
                        <a:ea typeface="Calibri" panose="020F0502020204030204" pitchFamily="2" charset="0"/>
                        <a:cs typeface="Calibri" panose="020F0502020204030204" pitchFamily="2" charset="0"/>
                      </a:rPr>
                      <a:t>, 79.49%</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spPr>
                <a:noFill/>
                <a:ln>
                  <a:noFill/>
                </a:ln>
                <a:effectLst/>
                <a:scene3d>
                  <a:camera prst="orthographicFront"/>
                  <a:lightRig rig="threePt" dir="t"/>
                </a:scene3d>
                <a:sp3d>
                  <a:bevelT/>
                </a:sp3d>
              </c:spPr>
              <c:dLblPos val="bestFit"/>
              <c:showCatName val="1"/>
              <c:extLst>
                <c:ext xmlns:c15="http://schemas.microsoft.com/office/drawing/2012/chart" uri="{CE6537A1-D6FC-4f65-9D91-7224C49458BB}">
                  <c15:layout/>
                </c:ext>
              </c:extLst>
            </c:dLbl>
            <c:spPr>
              <a:noFill/>
              <a:ln>
                <a:noFill/>
              </a:ln>
              <a:effectLst/>
              <a:scene3d>
                <a:camera prst="orthographicFront"/>
                <a:lightRig rig="threePt" dir="t"/>
              </a:scene3d>
              <a:sp3d>
                <a:bevelT/>
              </a:sp3d>
            </c:spPr>
            <c:txPr>
              <a:bodyPr rot="0" spcFirstLastPara="0" vertOverflow="ellipsis" vert="horz" wrap="square" lIns="38100" tIns="19050" rIns="38100" bIns="19050" anchor="ctr" anchorCtr="1"/>
              <a:lstStyle/>
              <a:p>
                <a:pPr>
                  <a:defRPr lang="zh-CN" sz="1500" b="0" i="0" u="none" strike="noStrike" kern="1200" baseline="0">
                    <a:solidFill>
                      <a:srgbClr val="000000"/>
                    </a:solidFill>
                    <a:latin typeface="+mn-lt"/>
                    <a:ea typeface="+mn-ea"/>
                    <a:cs typeface="+mn-cs"/>
                  </a:defRPr>
                </a:pPr>
                <a:endParaRPr lang="zh-CN"/>
              </a:p>
            </c:txPr>
            <c:dLblPos val="bestFit"/>
            <c:showVal val="1"/>
            <c:showCatName val="1"/>
            <c:extLst>
              <c:ext xmlns:c15="http://schemas.microsoft.com/office/drawing/2012/chart" uri="{CE6537A1-D6FC-4f65-9D91-7224C49458BB}">
                <c15:layout/>
                <c15:showLeaderLines val="0"/>
                <c15:leaderLines/>
              </c:ext>
            </c:extLst>
          </c:dLbls>
          <c:cat>
            <c:strRef>
              <c:f>'C:\Desktop\年报图表\[图9.提取分类.xls]Sheet1'!$A$1:$A$2</c:f>
              <c:strCache>
                <c:ptCount val="2"/>
                <c:pt idx="0">
                  <c:v>非住房消费类提取</c:v>
                </c:pt>
                <c:pt idx="1">
                  <c:v>住房消费类提取</c:v>
                </c:pt>
              </c:strCache>
            </c:strRef>
          </c:cat>
          <c:val>
            <c:numRef>
              <c:f>'C:\Desktop\年报图表\[图9.提取分类.xls]Sheet1'!$B$1:$B$2</c:f>
              <c:numCache>
                <c:formatCode>General</c:formatCode>
                <c:ptCount val="2"/>
                <c:pt idx="0">
                  <c:v>0.2051</c:v>
                </c:pt>
                <c:pt idx="1">
                  <c:v>0.79490000000000005</c:v>
                </c:pt>
              </c:numCache>
            </c:numRef>
          </c:val>
        </c:ser>
        <c:firstSliceAng val="0"/>
      </c:pieChart>
      <c:spPr>
        <a:noFill/>
        <a:ln>
          <a:noFill/>
        </a:ln>
      </c:spPr>
    </c:plotArea>
    <c:plotVisOnly val="1"/>
    <c:dispBlanksAs val="gap"/>
  </c:chart>
  <c:spPr>
    <a:noFill/>
    <a:ln w="9525" cap="flat" cmpd="sng" algn="ctr">
      <a:noFill/>
      <a:prstDash val="solid"/>
      <a:round/>
    </a:ln>
  </c:spPr>
  <c:txPr>
    <a:bodyPr wrap="square"/>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2018-06-15T06:48:00Z</dcterms:created>
  <dcterms:modified xsi:type="dcterms:W3CDTF">2018-06-15T06:49:00Z</dcterms:modified>
</cp:coreProperties>
</file>