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42" w:rsidRPr="00073145" w:rsidRDefault="00BF1142" w:rsidP="00BF1142">
      <w:pPr>
        <w:jc w:val="center"/>
        <w:rPr>
          <w:rFonts w:eastAsia="宋体"/>
          <w:b/>
          <w:sz w:val="36"/>
          <w:szCs w:val="36"/>
        </w:rPr>
      </w:pPr>
      <w:bookmarkStart w:id="0" w:name="_Hlk514937503"/>
      <w:bookmarkStart w:id="1" w:name="_Hlk514935461"/>
      <w:r w:rsidRPr="00073145">
        <w:rPr>
          <w:rFonts w:eastAsia="宋体" w:hint="eastAsia"/>
          <w:b/>
          <w:sz w:val="36"/>
          <w:szCs w:val="36"/>
        </w:rPr>
        <w:t>中央高校捐赠</w:t>
      </w:r>
      <w:proofErr w:type="gramStart"/>
      <w:r w:rsidRPr="00073145">
        <w:rPr>
          <w:rFonts w:eastAsia="宋体" w:hint="eastAsia"/>
          <w:b/>
          <w:sz w:val="36"/>
          <w:szCs w:val="36"/>
        </w:rPr>
        <w:t>配比专项</w:t>
      </w:r>
      <w:proofErr w:type="gramEnd"/>
      <w:r w:rsidRPr="00073145">
        <w:rPr>
          <w:rFonts w:eastAsia="宋体" w:hint="eastAsia"/>
          <w:b/>
          <w:sz w:val="36"/>
          <w:szCs w:val="36"/>
        </w:rPr>
        <w:t>资金管理办法</w:t>
      </w:r>
    </w:p>
    <w:bookmarkEnd w:id="0"/>
    <w:bookmarkEnd w:id="1"/>
    <w:p w:rsidR="00BF1142" w:rsidRDefault="00BF1142" w:rsidP="00BF1142">
      <w:pPr>
        <w:jc w:val="center"/>
        <w:rPr>
          <w:rFonts w:eastAsia="宋体" w:hint="eastAsia"/>
          <w:b/>
          <w:sz w:val="36"/>
          <w:szCs w:val="36"/>
        </w:rPr>
      </w:pPr>
    </w:p>
    <w:p w:rsidR="00BF1142" w:rsidRPr="00073145" w:rsidRDefault="00BF1142" w:rsidP="00BF1142">
      <w:pPr>
        <w:jc w:val="center"/>
        <w:rPr>
          <w:rFonts w:ascii="黑体" w:eastAsia="黑体" w:hAnsi="黑体"/>
          <w:szCs w:val="32"/>
        </w:rPr>
      </w:pPr>
      <w:r w:rsidRPr="00073145">
        <w:rPr>
          <w:rFonts w:ascii="黑体" w:eastAsia="黑体" w:hAnsi="黑体" w:hint="eastAsia"/>
          <w:szCs w:val="32"/>
        </w:rPr>
        <w:t xml:space="preserve">第一章 </w:t>
      </w:r>
      <w:r w:rsidRPr="00073145">
        <w:rPr>
          <w:rFonts w:ascii="黑体" w:eastAsia="黑体" w:hAnsi="黑体" w:hint="eastAsia"/>
          <w:szCs w:val="32"/>
        </w:rPr>
        <w:tab/>
        <w:t>总则</w:t>
      </w:r>
    </w:p>
    <w:p w:rsidR="00BF1142" w:rsidRPr="00E94D04" w:rsidRDefault="00BF1142" w:rsidP="00BF1142">
      <w:pPr>
        <w:rPr>
          <w:rFonts w:ascii="仿宋_GB2312" w:hAnsi="仿宋" w:hint="eastAsia"/>
          <w:szCs w:val="32"/>
        </w:rPr>
      </w:pPr>
      <w:r>
        <w:rPr>
          <w:rFonts w:ascii="黑体" w:eastAsia="黑体" w:hAnsi="黑体" w:hint="eastAsia"/>
          <w:b/>
          <w:szCs w:val="32"/>
        </w:rPr>
        <w:t xml:space="preserve">    </w:t>
      </w:r>
      <w:r w:rsidRPr="00073145">
        <w:rPr>
          <w:rFonts w:ascii="黑体" w:eastAsia="黑体" w:hAnsi="黑体" w:hint="eastAsia"/>
          <w:b/>
          <w:szCs w:val="32"/>
        </w:rPr>
        <w:t>第一条</w:t>
      </w:r>
      <w:r>
        <w:rPr>
          <w:rFonts w:ascii="黑体" w:eastAsia="黑体" w:hAnsi="黑体" w:hint="eastAsia"/>
          <w:b/>
          <w:szCs w:val="32"/>
        </w:rPr>
        <w:t xml:space="preserve"> </w:t>
      </w:r>
      <w:r w:rsidRPr="0042773E">
        <w:rPr>
          <w:rFonts w:ascii="仿宋_GB2312" w:hAnsi="仿宋" w:hint="eastAsia"/>
          <w:szCs w:val="32"/>
        </w:rPr>
        <w:t>为引导和鼓励中央高校拓宽资金来源渠道，健全多元化筹资</w:t>
      </w:r>
      <w:r>
        <w:rPr>
          <w:rFonts w:ascii="仿宋_GB2312" w:hAnsi="仿宋" w:hint="eastAsia"/>
          <w:szCs w:val="32"/>
        </w:rPr>
        <w:t>机制，进一步促进高等教育事业发展，根据《中华人民共和国预算法》</w:t>
      </w:r>
      <w:r w:rsidRPr="0042773E">
        <w:rPr>
          <w:rFonts w:ascii="仿宋_GB2312" w:hAnsi="仿宋" w:hint="eastAsia"/>
          <w:szCs w:val="32"/>
        </w:rPr>
        <w:t>《中华人民共和国慈善法》以及《财政部 教育部关于改革完善中央高校预算拨款制度的通知》（</w:t>
      </w:r>
      <w:proofErr w:type="gramStart"/>
      <w:r w:rsidRPr="0042773E">
        <w:rPr>
          <w:rFonts w:ascii="仿宋_GB2312" w:hAnsi="仿宋" w:hint="eastAsia"/>
          <w:szCs w:val="32"/>
        </w:rPr>
        <w:t>财教〔</w:t>
      </w:r>
      <w:r w:rsidRPr="0042773E">
        <w:rPr>
          <w:rFonts w:ascii="仿宋_GB2312" w:hint="eastAsia"/>
          <w:szCs w:val="32"/>
        </w:rPr>
        <w:t>2015</w:t>
      </w:r>
      <w:r w:rsidRPr="0042773E">
        <w:rPr>
          <w:rFonts w:ascii="仿宋_GB2312" w:hAnsi="仿宋" w:hint="eastAsia"/>
          <w:szCs w:val="32"/>
        </w:rPr>
        <w:t>〕</w:t>
      </w:r>
      <w:proofErr w:type="gramEnd"/>
      <w:r w:rsidRPr="0042773E">
        <w:rPr>
          <w:rFonts w:ascii="仿宋_GB2312" w:hint="eastAsia"/>
          <w:szCs w:val="32"/>
        </w:rPr>
        <w:t>467</w:t>
      </w:r>
      <w:r w:rsidRPr="0042773E">
        <w:rPr>
          <w:rFonts w:ascii="仿宋_GB2312" w:hAnsi="仿宋" w:hint="eastAsia"/>
          <w:szCs w:val="32"/>
        </w:rPr>
        <w:t>号）等有关规定，制定本办法。</w:t>
      </w:r>
    </w:p>
    <w:p w:rsidR="00BF1142" w:rsidRPr="00E94D04" w:rsidRDefault="00BF1142" w:rsidP="00BF1142">
      <w:pPr>
        <w:ind w:firstLine="645"/>
        <w:rPr>
          <w:rFonts w:ascii="仿宋_GB2312" w:hAnsi="仿宋"/>
          <w:szCs w:val="32"/>
        </w:rPr>
      </w:pPr>
      <w:r w:rsidRPr="00073145">
        <w:rPr>
          <w:rFonts w:ascii="黑体" w:eastAsia="黑体" w:hAnsi="黑体" w:hint="eastAsia"/>
          <w:b/>
          <w:szCs w:val="32"/>
        </w:rPr>
        <w:t>第二条</w:t>
      </w:r>
      <w:r w:rsidRPr="00073145">
        <w:rPr>
          <w:rFonts w:ascii="仿宋" w:eastAsia="仿宋" w:hAnsi="仿宋" w:hint="eastAsia"/>
          <w:szCs w:val="32"/>
        </w:rPr>
        <w:tab/>
      </w:r>
      <w:r>
        <w:rPr>
          <w:rFonts w:ascii="仿宋" w:eastAsia="仿宋" w:hAnsi="仿宋" w:hint="eastAsia"/>
          <w:szCs w:val="32"/>
        </w:rPr>
        <w:t xml:space="preserve"> </w:t>
      </w:r>
      <w:r w:rsidRPr="00E94D04">
        <w:rPr>
          <w:rFonts w:ascii="仿宋_GB2312" w:hAnsi="仿宋" w:hint="eastAsia"/>
          <w:szCs w:val="32"/>
        </w:rPr>
        <w:t>中央财政设立中央高校捐赠</w:t>
      </w:r>
      <w:proofErr w:type="gramStart"/>
      <w:r w:rsidRPr="00E94D04">
        <w:rPr>
          <w:rFonts w:ascii="仿宋_GB2312" w:hAnsi="仿宋" w:hint="eastAsia"/>
          <w:szCs w:val="32"/>
        </w:rPr>
        <w:t>配比专项</w:t>
      </w:r>
      <w:proofErr w:type="gramEnd"/>
      <w:r w:rsidRPr="00E94D04">
        <w:rPr>
          <w:rFonts w:ascii="仿宋_GB2312" w:hAnsi="仿宋" w:hint="eastAsia"/>
          <w:szCs w:val="32"/>
        </w:rPr>
        <w:t>资金（以下简称“配比资金”），对中央级普通高等学校（以下简称“中央高校”）获得的</w:t>
      </w:r>
      <w:r>
        <w:rPr>
          <w:rFonts w:ascii="仿宋_GB2312" w:hAnsi="仿宋" w:hint="eastAsia"/>
          <w:szCs w:val="32"/>
        </w:rPr>
        <w:t>符合规定条件的</w:t>
      </w:r>
      <w:r w:rsidRPr="00E94D04">
        <w:rPr>
          <w:rFonts w:ascii="仿宋_GB2312" w:hAnsi="仿宋" w:hint="eastAsia"/>
          <w:szCs w:val="32"/>
        </w:rPr>
        <w:t>社会捐赠收入</w:t>
      </w:r>
      <w:r>
        <w:rPr>
          <w:rFonts w:ascii="仿宋_GB2312" w:hAnsi="仿宋" w:hint="eastAsia"/>
          <w:szCs w:val="32"/>
        </w:rPr>
        <w:t>（以下简称“合格捐赠收入”）</w:t>
      </w:r>
      <w:r w:rsidRPr="00E94D04">
        <w:rPr>
          <w:rFonts w:ascii="仿宋_GB2312" w:hAnsi="仿宋" w:hint="eastAsia"/>
          <w:szCs w:val="32"/>
        </w:rPr>
        <w:t>进行奖励补助。</w:t>
      </w:r>
    </w:p>
    <w:p w:rsidR="00BF1142" w:rsidRPr="00E94D04" w:rsidRDefault="00BF1142" w:rsidP="00BF1142">
      <w:pPr>
        <w:rPr>
          <w:rFonts w:ascii="仿宋_GB2312" w:hAnsi="仿宋"/>
          <w:szCs w:val="32"/>
        </w:rPr>
      </w:pPr>
      <w:r>
        <w:rPr>
          <w:rFonts w:ascii="黑体" w:eastAsia="黑体" w:hAnsi="黑体" w:hint="eastAsia"/>
          <w:b/>
          <w:szCs w:val="32"/>
        </w:rPr>
        <w:t xml:space="preserve">    </w:t>
      </w:r>
      <w:r w:rsidRPr="00073145">
        <w:rPr>
          <w:rFonts w:ascii="黑体" w:eastAsia="黑体" w:hAnsi="黑体" w:hint="eastAsia"/>
          <w:b/>
          <w:szCs w:val="32"/>
        </w:rPr>
        <w:t>第三条</w:t>
      </w:r>
      <w:r w:rsidRPr="00073145">
        <w:rPr>
          <w:rFonts w:ascii="仿宋" w:eastAsia="仿宋" w:hAnsi="仿宋" w:hint="eastAsia"/>
          <w:szCs w:val="32"/>
        </w:rPr>
        <w:tab/>
      </w:r>
      <w:r>
        <w:rPr>
          <w:rFonts w:ascii="仿宋" w:eastAsia="仿宋" w:hAnsi="仿宋" w:hint="eastAsia"/>
          <w:szCs w:val="32"/>
        </w:rPr>
        <w:t xml:space="preserve"> </w:t>
      </w:r>
      <w:r w:rsidRPr="00E94D04">
        <w:rPr>
          <w:rFonts w:ascii="仿宋_GB2312" w:hAnsi="仿宋" w:hint="eastAsia"/>
          <w:szCs w:val="32"/>
        </w:rPr>
        <w:t>本办法所称的社会捐赠收入是指</w:t>
      </w:r>
      <w:r>
        <w:rPr>
          <w:rFonts w:ascii="仿宋_GB2312" w:hAnsi="仿宋" w:hint="eastAsia"/>
          <w:szCs w:val="32"/>
        </w:rPr>
        <w:t>中央高校通过民政部门登记设立的基金会接收的用于本校的社会捐赠货币资金。</w:t>
      </w:r>
    </w:p>
    <w:p w:rsidR="00BF1142" w:rsidRPr="00E94D04" w:rsidRDefault="00BF1142" w:rsidP="00BF1142">
      <w:pPr>
        <w:rPr>
          <w:rFonts w:ascii="仿宋_GB2312" w:hAnsi="仿宋"/>
          <w:szCs w:val="32"/>
        </w:rPr>
      </w:pPr>
      <w:r>
        <w:rPr>
          <w:rFonts w:ascii="黑体" w:eastAsia="黑体" w:hAnsi="黑体" w:hint="eastAsia"/>
          <w:b/>
          <w:szCs w:val="32"/>
        </w:rPr>
        <w:t xml:space="preserve">    </w:t>
      </w:r>
      <w:r w:rsidRPr="00073145">
        <w:rPr>
          <w:rFonts w:ascii="黑体" w:eastAsia="黑体" w:hAnsi="黑体" w:hint="eastAsia"/>
          <w:b/>
          <w:szCs w:val="32"/>
        </w:rPr>
        <w:t>第四条</w:t>
      </w:r>
      <w:r w:rsidRPr="00073145">
        <w:rPr>
          <w:rFonts w:ascii="仿宋" w:eastAsia="仿宋" w:hAnsi="仿宋" w:hint="eastAsia"/>
          <w:szCs w:val="32"/>
        </w:rPr>
        <w:tab/>
      </w:r>
      <w:r>
        <w:rPr>
          <w:rFonts w:ascii="仿宋" w:eastAsia="仿宋" w:hAnsi="仿宋" w:hint="eastAsia"/>
          <w:szCs w:val="32"/>
        </w:rPr>
        <w:t xml:space="preserve"> </w:t>
      </w:r>
      <w:r w:rsidRPr="00E94D04">
        <w:rPr>
          <w:rFonts w:ascii="仿宋_GB2312" w:hAnsi="仿宋" w:hint="eastAsia"/>
          <w:szCs w:val="32"/>
        </w:rPr>
        <w:t xml:space="preserve">配比资金的分配、使用和管理遵循以下原则：  </w:t>
      </w:r>
    </w:p>
    <w:p w:rsidR="00BF1142" w:rsidRPr="00E94D04" w:rsidRDefault="00BF1142" w:rsidP="00BF1142">
      <w:pPr>
        <w:ind w:firstLineChars="200" w:firstLine="634"/>
        <w:rPr>
          <w:rFonts w:ascii="仿宋_GB2312" w:hAnsi="仿宋"/>
          <w:szCs w:val="32"/>
        </w:rPr>
      </w:pPr>
      <w:r w:rsidRPr="0042773E">
        <w:rPr>
          <w:rFonts w:ascii="楷体_GB2312" w:eastAsia="楷体_GB2312" w:hAnsi="仿宋" w:hint="eastAsia"/>
          <w:b/>
          <w:szCs w:val="32"/>
        </w:rPr>
        <w:t>（一）总量控制，因素分配。</w:t>
      </w:r>
      <w:r w:rsidRPr="00E94D04">
        <w:rPr>
          <w:rFonts w:ascii="仿宋_GB2312" w:hAnsi="仿宋" w:hint="eastAsia"/>
          <w:szCs w:val="32"/>
        </w:rPr>
        <w:t>配比资金年度预算根据财力状况等因素确定，实行总量控制，按照因素法测算分校额度，充分考虑不同类型学校实际情况，选取客观因素，以分档超额累退配比为主，体现公平公正和激励约束。</w:t>
      </w:r>
    </w:p>
    <w:p w:rsidR="00BF1142" w:rsidRPr="00E94D04" w:rsidRDefault="00BF1142" w:rsidP="00BF1142">
      <w:pPr>
        <w:ind w:firstLineChars="200" w:firstLine="634"/>
        <w:rPr>
          <w:rFonts w:ascii="仿宋_GB2312" w:hAnsi="仿宋"/>
          <w:szCs w:val="32"/>
        </w:rPr>
      </w:pPr>
      <w:r w:rsidRPr="0042773E">
        <w:rPr>
          <w:rFonts w:ascii="楷体_GB2312" w:eastAsia="楷体_GB2312" w:hAnsi="仿宋" w:hint="eastAsia"/>
          <w:b/>
          <w:szCs w:val="32"/>
        </w:rPr>
        <w:t>（二）正向激励，适当倾斜。</w:t>
      </w:r>
      <w:r w:rsidRPr="00E94D04">
        <w:rPr>
          <w:rFonts w:ascii="仿宋_GB2312" w:hAnsi="仿宋" w:hint="eastAsia"/>
          <w:szCs w:val="32"/>
        </w:rPr>
        <w:t>配比资金分配在体现“多受捐多配比”正向激励原则的同时，对困难地区、发展薄弱以及捐赠基础相对较弱的中央高校予以适当倾斜。</w:t>
      </w:r>
    </w:p>
    <w:p w:rsidR="00BF1142" w:rsidRPr="00E94D04" w:rsidRDefault="00BF1142" w:rsidP="00BF1142">
      <w:pPr>
        <w:ind w:firstLineChars="200" w:firstLine="634"/>
        <w:rPr>
          <w:rFonts w:ascii="仿宋_GB2312" w:hAnsi="仿宋"/>
          <w:szCs w:val="32"/>
        </w:rPr>
      </w:pPr>
      <w:r w:rsidRPr="0042773E">
        <w:rPr>
          <w:rFonts w:ascii="楷体_GB2312" w:eastAsia="楷体_GB2312" w:hAnsi="仿宋" w:hint="eastAsia"/>
          <w:b/>
          <w:szCs w:val="32"/>
        </w:rPr>
        <w:lastRenderedPageBreak/>
        <w:t>（三）统筹使用，注重绩效。</w:t>
      </w:r>
      <w:r w:rsidRPr="00E94D04">
        <w:rPr>
          <w:rFonts w:ascii="仿宋_GB2312" w:hAnsi="仿宋" w:hint="eastAsia"/>
          <w:szCs w:val="32"/>
        </w:rPr>
        <w:t>中央高校结合实际对配比资金统筹安排使用，增强高校资金使用的自主权。加强绩效管理和追踪问效，提高配比资金管理的科学化、规范化水平。</w:t>
      </w:r>
    </w:p>
    <w:p w:rsidR="00BF1142" w:rsidRPr="00073145" w:rsidRDefault="00BF1142" w:rsidP="00BF1142">
      <w:pPr>
        <w:jc w:val="center"/>
        <w:rPr>
          <w:rFonts w:ascii="黑体" w:eastAsia="黑体" w:hAnsi="黑体"/>
          <w:szCs w:val="32"/>
        </w:rPr>
      </w:pPr>
      <w:r w:rsidRPr="00073145">
        <w:rPr>
          <w:rFonts w:ascii="黑体" w:eastAsia="黑体" w:hAnsi="黑体" w:hint="eastAsia"/>
          <w:szCs w:val="32"/>
        </w:rPr>
        <w:t>第二章</w:t>
      </w:r>
      <w:r>
        <w:rPr>
          <w:rFonts w:ascii="黑体" w:eastAsia="黑体" w:hAnsi="黑体" w:hint="eastAsia"/>
          <w:szCs w:val="32"/>
        </w:rPr>
        <w:t xml:space="preserve"> </w:t>
      </w:r>
      <w:r w:rsidRPr="00073145">
        <w:rPr>
          <w:rFonts w:ascii="黑体" w:eastAsia="黑体" w:hAnsi="黑体" w:hint="eastAsia"/>
          <w:szCs w:val="32"/>
        </w:rPr>
        <w:t>管理权限与职责</w:t>
      </w:r>
    </w:p>
    <w:p w:rsidR="00BF1142" w:rsidRPr="00073145" w:rsidDel="00505993" w:rsidRDefault="00BF1142" w:rsidP="00BF1142">
      <w:pPr>
        <w:rPr>
          <w:rFonts w:ascii="仿宋" w:eastAsia="仿宋" w:hAnsi="仿宋"/>
          <w:szCs w:val="32"/>
        </w:rPr>
      </w:pPr>
      <w:r>
        <w:rPr>
          <w:rFonts w:ascii="黑体" w:eastAsia="黑体" w:hAnsi="黑体" w:hint="eastAsia"/>
          <w:szCs w:val="32"/>
        </w:rPr>
        <w:t xml:space="preserve">    </w:t>
      </w:r>
      <w:r w:rsidRPr="00073145">
        <w:rPr>
          <w:rFonts w:ascii="黑体" w:eastAsia="黑体" w:hAnsi="黑体" w:hint="eastAsia"/>
          <w:szCs w:val="32"/>
        </w:rPr>
        <w:t>第五条</w:t>
      </w:r>
      <w:r w:rsidRPr="00073145">
        <w:rPr>
          <w:rFonts w:ascii="仿宋" w:eastAsia="仿宋" w:hAnsi="仿宋" w:hint="eastAsia"/>
          <w:szCs w:val="32"/>
        </w:rPr>
        <w:tab/>
      </w:r>
      <w:r>
        <w:rPr>
          <w:rFonts w:ascii="仿宋" w:eastAsia="仿宋" w:hAnsi="仿宋" w:hint="eastAsia"/>
          <w:szCs w:val="32"/>
        </w:rPr>
        <w:t xml:space="preserve"> </w:t>
      </w:r>
      <w:r w:rsidRPr="00E94D04">
        <w:rPr>
          <w:rFonts w:ascii="仿宋_GB2312" w:hAnsi="仿宋" w:hint="eastAsia"/>
          <w:szCs w:val="32"/>
        </w:rPr>
        <w:t>财政部、教育部负责制定配比资金管理办法，制定评审确认原则，核定年度预算，组织申报评审，对资金的使用和管理情况进行绩效考核和监督检查。</w:t>
      </w:r>
    </w:p>
    <w:p w:rsidR="00BF1142" w:rsidRPr="00E94D04" w:rsidRDefault="00BF1142" w:rsidP="00BF1142">
      <w:pPr>
        <w:ind w:firstLine="648"/>
        <w:rPr>
          <w:rFonts w:ascii="仿宋_GB2312" w:hAnsi="仿宋"/>
          <w:szCs w:val="32"/>
        </w:rPr>
      </w:pPr>
      <w:r w:rsidRPr="00073145">
        <w:rPr>
          <w:rFonts w:ascii="黑体" w:eastAsia="黑体" w:hAnsi="黑体" w:hint="eastAsia"/>
          <w:szCs w:val="32"/>
        </w:rPr>
        <w:t>第六条</w:t>
      </w:r>
      <w:r>
        <w:rPr>
          <w:rFonts w:ascii="黑体" w:eastAsia="黑体" w:hAnsi="黑体" w:hint="eastAsia"/>
          <w:szCs w:val="32"/>
        </w:rPr>
        <w:t xml:space="preserve"> </w:t>
      </w:r>
      <w:r w:rsidRPr="00E94D04">
        <w:rPr>
          <w:rFonts w:ascii="仿宋_GB2312" w:hAnsi="仿宋" w:hint="eastAsia"/>
          <w:szCs w:val="32"/>
        </w:rPr>
        <w:t>主管部门负责对所属中央高校上报材料的真实性、规范性和有效性进行审核。按要求汇总后，连同申报材料报送财政部、教育部。按照部门预算管理要求，及时将预算下达所属高校，对资金使用情况进行监督，适时开展绩效评价。</w:t>
      </w:r>
    </w:p>
    <w:p w:rsidR="00BF1142" w:rsidRPr="00E94D04" w:rsidRDefault="00BF1142" w:rsidP="00BF1142">
      <w:pPr>
        <w:ind w:firstLine="648"/>
        <w:rPr>
          <w:rFonts w:ascii="仿宋_GB2312" w:hAnsi="仿宋"/>
          <w:szCs w:val="32"/>
        </w:rPr>
      </w:pPr>
      <w:r w:rsidRPr="00073145">
        <w:rPr>
          <w:rFonts w:ascii="黑体" w:eastAsia="黑体" w:hAnsi="黑体" w:hint="eastAsia"/>
          <w:szCs w:val="32"/>
        </w:rPr>
        <w:t>第七条</w:t>
      </w:r>
      <w:r>
        <w:rPr>
          <w:rFonts w:ascii="黑体" w:eastAsia="黑体" w:hAnsi="黑体" w:hint="eastAsia"/>
          <w:szCs w:val="32"/>
        </w:rPr>
        <w:t xml:space="preserve"> </w:t>
      </w:r>
      <w:r w:rsidRPr="00E94D04">
        <w:rPr>
          <w:rFonts w:ascii="仿宋_GB2312" w:hAnsi="仿宋" w:hint="eastAsia"/>
          <w:szCs w:val="32"/>
        </w:rPr>
        <w:t>中央高校是配比资金使用管理的责任主体，应当严格按照本办法和评审确认原则，完整准确申报当年配比资金，对不符合条件的已配比资金，主动申报核减，对申请材料的真实性、规范性和有效性直接负责；应当严格规范捐赠收入和配比资金的使用管理，加强内部控制管理。</w:t>
      </w:r>
    </w:p>
    <w:p w:rsidR="00BF1142" w:rsidRPr="00073145" w:rsidRDefault="00BF1142" w:rsidP="00BF1142">
      <w:pPr>
        <w:jc w:val="center"/>
        <w:rPr>
          <w:rFonts w:ascii="黑体" w:eastAsia="黑体" w:hAnsi="黑体"/>
          <w:szCs w:val="32"/>
        </w:rPr>
      </w:pPr>
      <w:r w:rsidRPr="00073145">
        <w:rPr>
          <w:rFonts w:ascii="黑体" w:eastAsia="黑体" w:hAnsi="黑体" w:hint="eastAsia"/>
          <w:szCs w:val="32"/>
        </w:rPr>
        <w:t>第三章 预算管理</w:t>
      </w:r>
    </w:p>
    <w:p w:rsidR="00BF1142" w:rsidRPr="00E94D04" w:rsidRDefault="00BF1142" w:rsidP="00BF1142">
      <w:pPr>
        <w:ind w:firstLineChars="200" w:firstLine="632"/>
        <w:rPr>
          <w:rFonts w:ascii="仿宋_GB2312" w:hAnsi="仿宋"/>
          <w:szCs w:val="32"/>
        </w:rPr>
      </w:pPr>
      <w:r w:rsidRPr="00073145">
        <w:rPr>
          <w:rFonts w:ascii="黑体" w:eastAsia="黑体" w:hAnsi="黑体" w:hint="eastAsia"/>
          <w:szCs w:val="32"/>
        </w:rPr>
        <w:t>第八条</w:t>
      </w:r>
      <w:r>
        <w:rPr>
          <w:rFonts w:ascii="黑体" w:eastAsia="黑体" w:hAnsi="黑体" w:hint="eastAsia"/>
          <w:szCs w:val="32"/>
        </w:rPr>
        <w:t xml:space="preserve"> </w:t>
      </w:r>
      <w:r w:rsidRPr="00E94D04">
        <w:rPr>
          <w:rFonts w:ascii="仿宋_GB2312" w:hAnsi="仿宋" w:hint="eastAsia"/>
          <w:szCs w:val="32"/>
        </w:rPr>
        <w:t>财政部、教育部委托中国教育发展基金会组织开展配比资金申报评审工作，并将评审结果反馈中央高校。中央高校对评审结果有异议的，可在收到评审结果</w:t>
      </w:r>
      <w:r>
        <w:rPr>
          <w:rFonts w:ascii="仿宋_GB2312" w:hAnsi="仿宋" w:hint="eastAsia"/>
          <w:szCs w:val="32"/>
        </w:rPr>
        <w:t>后规定时间</w:t>
      </w:r>
      <w:r w:rsidRPr="00E94D04">
        <w:rPr>
          <w:rFonts w:ascii="仿宋_GB2312" w:hAnsi="仿宋" w:hint="eastAsia"/>
          <w:szCs w:val="32"/>
        </w:rPr>
        <w:t>内提出申诉，中国教育发展基金会组织复审。中央高校应当在收到评审或复审结果</w:t>
      </w:r>
      <w:r>
        <w:rPr>
          <w:rFonts w:ascii="仿宋_GB2312" w:hAnsi="仿宋" w:hint="eastAsia"/>
          <w:szCs w:val="32"/>
        </w:rPr>
        <w:t>后规定时间</w:t>
      </w:r>
      <w:r w:rsidRPr="00E94D04">
        <w:rPr>
          <w:rFonts w:ascii="仿宋_GB2312" w:hAnsi="仿宋" w:hint="eastAsia"/>
          <w:szCs w:val="32"/>
        </w:rPr>
        <w:t>内，对评审和复审结果予以确认。</w:t>
      </w:r>
    </w:p>
    <w:p w:rsidR="00BF1142" w:rsidRPr="00073145" w:rsidRDefault="00BF1142" w:rsidP="00BF1142">
      <w:pPr>
        <w:ind w:firstLineChars="200" w:firstLine="632"/>
        <w:rPr>
          <w:rFonts w:ascii="仿宋" w:eastAsia="仿宋" w:hAnsi="仿宋"/>
          <w:szCs w:val="32"/>
        </w:rPr>
      </w:pPr>
      <w:r w:rsidRPr="00073145">
        <w:rPr>
          <w:rFonts w:ascii="黑体" w:eastAsia="黑体" w:hAnsi="黑体" w:hint="eastAsia"/>
          <w:szCs w:val="32"/>
        </w:rPr>
        <w:lastRenderedPageBreak/>
        <w:t>第九条</w:t>
      </w:r>
      <w:r>
        <w:rPr>
          <w:rFonts w:ascii="黑体" w:eastAsia="黑体" w:hAnsi="黑体" w:hint="eastAsia"/>
          <w:szCs w:val="32"/>
        </w:rPr>
        <w:t xml:space="preserve"> </w:t>
      </w:r>
      <w:r w:rsidRPr="00E94D04">
        <w:rPr>
          <w:rFonts w:ascii="仿宋_GB2312" w:hAnsi="仿宋" w:hint="eastAsia"/>
          <w:szCs w:val="32"/>
        </w:rPr>
        <w:t>中国教育发展基金会将经中央高校确认的评审结果报教育部、财政部审定。</w:t>
      </w:r>
    </w:p>
    <w:p w:rsidR="00BF1142" w:rsidRPr="00E94D04" w:rsidRDefault="00BF1142" w:rsidP="00BF1142">
      <w:pPr>
        <w:ind w:firstLineChars="200" w:firstLine="632"/>
        <w:rPr>
          <w:rFonts w:ascii="仿宋_GB2312" w:hAnsi="仿宋"/>
          <w:szCs w:val="32"/>
        </w:rPr>
      </w:pPr>
      <w:r w:rsidRPr="00073145">
        <w:rPr>
          <w:rFonts w:ascii="黑体" w:eastAsia="黑体" w:hAnsi="黑体" w:hint="eastAsia"/>
          <w:szCs w:val="32"/>
        </w:rPr>
        <w:t xml:space="preserve">第十条 </w:t>
      </w:r>
      <w:r w:rsidRPr="00E94D04">
        <w:rPr>
          <w:rFonts w:ascii="仿宋_GB2312" w:hAnsi="仿宋" w:hint="eastAsia"/>
          <w:szCs w:val="32"/>
        </w:rPr>
        <w:t>配比资金采取因素法分配，分配因素主要包括基础因素、发展因素、管理因素等，以基础因素为主。其中，基础因素主要考虑中央高校本年度合格捐赠收入、分档超额累退比例等；发展因素主要考虑高校所在区域、办学特色、捐赠基础等；管理因素主要考虑申报质量、核查结果、绩效管理、预算执行等。</w:t>
      </w:r>
    </w:p>
    <w:p w:rsidR="00BF1142" w:rsidRPr="00E94D04" w:rsidRDefault="00BF1142" w:rsidP="00BF1142">
      <w:pPr>
        <w:ind w:firstLineChars="200" w:firstLine="632"/>
        <w:rPr>
          <w:rFonts w:ascii="仿宋_GB2312" w:hAnsi="仿宋"/>
          <w:szCs w:val="32"/>
        </w:rPr>
      </w:pPr>
      <w:r w:rsidRPr="00E94D04">
        <w:rPr>
          <w:rFonts w:ascii="仿宋_GB2312" w:hAnsi="仿宋"/>
          <w:szCs w:val="32"/>
        </w:rPr>
        <w:t>根据中央高校捐赠收入发展情况和相关管理改革要求，财政部会同教育部适时对相关分配因素进行完善。</w:t>
      </w:r>
    </w:p>
    <w:p w:rsidR="00BF1142" w:rsidRPr="00E94D04" w:rsidRDefault="00BF1142" w:rsidP="00BF1142">
      <w:pPr>
        <w:ind w:firstLineChars="200" w:firstLine="632"/>
        <w:rPr>
          <w:rFonts w:ascii="仿宋_GB2312" w:hAnsi="仿宋"/>
          <w:szCs w:val="32"/>
        </w:rPr>
      </w:pPr>
      <w:r w:rsidRPr="00073145">
        <w:rPr>
          <w:rFonts w:ascii="黑体" w:eastAsia="黑体" w:hAnsi="黑体" w:hint="eastAsia"/>
          <w:szCs w:val="32"/>
        </w:rPr>
        <w:t>第十一条</w:t>
      </w:r>
      <w:r>
        <w:rPr>
          <w:rFonts w:ascii="黑体" w:eastAsia="黑体" w:hAnsi="黑体" w:hint="eastAsia"/>
          <w:szCs w:val="32"/>
        </w:rPr>
        <w:t xml:space="preserve"> </w:t>
      </w:r>
      <w:r w:rsidRPr="00E94D04">
        <w:rPr>
          <w:rFonts w:ascii="仿宋_GB2312" w:hAnsi="仿宋" w:hint="eastAsia"/>
          <w:szCs w:val="32"/>
        </w:rPr>
        <w:t>配比资金对中央高校申报的单笔</w:t>
      </w:r>
      <w:r w:rsidRPr="0042773E">
        <w:rPr>
          <w:rFonts w:ascii="仿宋_GB2312" w:hAnsi="仿宋" w:hint="eastAsia"/>
          <w:szCs w:val="32"/>
        </w:rPr>
        <w:t>10</w:t>
      </w:r>
      <w:r w:rsidRPr="00E94D04">
        <w:rPr>
          <w:rFonts w:ascii="仿宋_GB2312" w:hAnsi="仿宋" w:hint="eastAsia"/>
          <w:szCs w:val="32"/>
        </w:rPr>
        <w:t>万元（含）以上的合格</w:t>
      </w:r>
      <w:r>
        <w:rPr>
          <w:rFonts w:ascii="仿宋_GB2312" w:hAnsi="仿宋" w:hint="eastAsia"/>
          <w:szCs w:val="32"/>
        </w:rPr>
        <w:t>捐赠收入</w:t>
      </w:r>
      <w:r w:rsidRPr="00E94D04">
        <w:rPr>
          <w:rFonts w:ascii="仿宋_GB2312" w:hAnsi="仿宋" w:hint="eastAsia"/>
          <w:szCs w:val="32"/>
        </w:rPr>
        <w:t>资金实行配比，对西部和东北地区中央高校</w:t>
      </w:r>
      <w:r>
        <w:rPr>
          <w:rFonts w:ascii="仿宋_GB2312" w:hAnsi="仿宋" w:hint="eastAsia"/>
          <w:szCs w:val="32"/>
        </w:rPr>
        <w:t>，以及民族、师范等捐赠基础相对薄弱的中央高校</w:t>
      </w:r>
      <w:r w:rsidRPr="00E94D04">
        <w:rPr>
          <w:rFonts w:ascii="仿宋_GB2312" w:hAnsi="仿宋" w:hint="eastAsia"/>
          <w:szCs w:val="32"/>
        </w:rPr>
        <w:t>申报的单笔</w:t>
      </w:r>
      <w:r w:rsidRPr="0042773E">
        <w:rPr>
          <w:rFonts w:ascii="仿宋_GB2312" w:hAnsi="仿宋" w:hint="eastAsia"/>
          <w:szCs w:val="32"/>
        </w:rPr>
        <w:t>1</w:t>
      </w:r>
      <w:r w:rsidRPr="00E94D04">
        <w:rPr>
          <w:rFonts w:ascii="仿宋_GB2312" w:hAnsi="仿宋" w:hint="eastAsia"/>
          <w:szCs w:val="32"/>
        </w:rPr>
        <w:t>万元（含）以上的合格</w:t>
      </w:r>
      <w:r>
        <w:rPr>
          <w:rFonts w:ascii="仿宋_GB2312" w:hAnsi="仿宋" w:hint="eastAsia"/>
          <w:szCs w:val="32"/>
        </w:rPr>
        <w:t>捐赠收入</w:t>
      </w:r>
      <w:r w:rsidRPr="00E94D04">
        <w:rPr>
          <w:rFonts w:ascii="仿宋_GB2312" w:hAnsi="仿宋" w:hint="eastAsia"/>
          <w:szCs w:val="32"/>
        </w:rPr>
        <w:t>实行配比。</w:t>
      </w:r>
    </w:p>
    <w:p w:rsidR="00BF1142" w:rsidRPr="00073145" w:rsidRDefault="00BF1142" w:rsidP="00BF1142">
      <w:pPr>
        <w:jc w:val="center"/>
        <w:rPr>
          <w:rFonts w:ascii="黑体" w:eastAsia="黑体" w:hAnsi="黑体"/>
          <w:szCs w:val="32"/>
        </w:rPr>
      </w:pPr>
      <w:r w:rsidRPr="00073145">
        <w:rPr>
          <w:rFonts w:ascii="黑体" w:eastAsia="黑体" w:hAnsi="黑体" w:hint="eastAsia"/>
          <w:szCs w:val="32"/>
        </w:rPr>
        <w:t>第四章 支出和决算管理</w:t>
      </w:r>
    </w:p>
    <w:p w:rsidR="00BF1142" w:rsidRPr="00E94D04" w:rsidRDefault="00BF1142" w:rsidP="00BF1142">
      <w:pPr>
        <w:ind w:firstLine="645"/>
        <w:rPr>
          <w:rFonts w:ascii="仿宋_GB2312" w:hAnsi="仿宋"/>
          <w:szCs w:val="32"/>
        </w:rPr>
      </w:pPr>
      <w:r w:rsidRPr="00073145">
        <w:rPr>
          <w:rFonts w:ascii="黑体" w:eastAsia="黑体" w:hAnsi="黑体" w:hint="eastAsia"/>
          <w:szCs w:val="32"/>
        </w:rPr>
        <w:t>第十二条</w:t>
      </w:r>
      <w:bookmarkStart w:id="2" w:name="_Hlk514318461"/>
      <w:r w:rsidRPr="00E94D04">
        <w:rPr>
          <w:rFonts w:ascii="仿宋_GB2312" w:hAnsi="仿宋" w:hint="eastAsia"/>
          <w:szCs w:val="32"/>
        </w:rPr>
        <w:t xml:space="preserve"> 配比资金</w:t>
      </w:r>
      <w:bookmarkEnd w:id="2"/>
      <w:r w:rsidRPr="00E94D04">
        <w:rPr>
          <w:rFonts w:ascii="仿宋_GB2312" w:hAnsi="仿宋" w:hint="eastAsia"/>
          <w:szCs w:val="32"/>
        </w:rPr>
        <w:t>由中央高校纳入预算、严格管理、统筹使用。优先用于推进思想政治工作、建设高素质教师队伍、形成高水平人才培养体系和学生资助，不得用于偿还贷款、发放教职工工资和津补贴、支付罚款、捐赠、赞助、</w:t>
      </w:r>
      <w:r>
        <w:rPr>
          <w:rFonts w:ascii="仿宋_GB2312" w:hAnsi="仿宋" w:hint="eastAsia"/>
          <w:szCs w:val="32"/>
        </w:rPr>
        <w:t>对外</w:t>
      </w:r>
      <w:r w:rsidRPr="00E94D04">
        <w:rPr>
          <w:rFonts w:ascii="仿宋_GB2312" w:hAnsi="仿宋" w:hint="eastAsia"/>
          <w:szCs w:val="32"/>
        </w:rPr>
        <w:t>投资等支出。相关支出标准按国家有关规定执行，无国家规定的，由中央高校按照厉行节约、反对浪费原则，结合实际情况确定。</w:t>
      </w:r>
    </w:p>
    <w:p w:rsidR="00BF1142" w:rsidRPr="00073145" w:rsidRDefault="00BF1142" w:rsidP="00BF1142">
      <w:pPr>
        <w:rPr>
          <w:rFonts w:ascii="仿宋" w:eastAsia="仿宋" w:hAnsi="仿宋"/>
          <w:szCs w:val="32"/>
        </w:rPr>
      </w:pPr>
      <w:r>
        <w:rPr>
          <w:rFonts w:ascii="黑体" w:eastAsia="黑体" w:hAnsi="黑体" w:hint="eastAsia"/>
          <w:szCs w:val="32"/>
        </w:rPr>
        <w:t xml:space="preserve">    </w:t>
      </w:r>
      <w:r w:rsidRPr="00073145">
        <w:rPr>
          <w:rFonts w:ascii="黑体" w:eastAsia="黑体" w:hAnsi="黑体" w:hint="eastAsia"/>
          <w:szCs w:val="32"/>
        </w:rPr>
        <w:t>第十三条</w:t>
      </w:r>
      <w:r w:rsidRPr="00073145">
        <w:rPr>
          <w:rFonts w:ascii="仿宋" w:eastAsia="仿宋" w:hAnsi="仿宋" w:hint="eastAsia"/>
          <w:szCs w:val="32"/>
        </w:rPr>
        <w:t xml:space="preserve"> </w:t>
      </w:r>
      <w:r w:rsidRPr="00E94D04">
        <w:rPr>
          <w:rFonts w:ascii="仿宋_GB2312" w:hAnsi="仿宋" w:hint="eastAsia"/>
          <w:szCs w:val="32"/>
        </w:rPr>
        <w:t>配比资金的支付按照国库集中支付制度有关规定执行；属于政府采购范围的，按照政府采购有关法律制度规定执</w:t>
      </w:r>
      <w:r w:rsidRPr="00E94D04">
        <w:rPr>
          <w:rFonts w:ascii="仿宋_GB2312" w:hAnsi="仿宋" w:hint="eastAsia"/>
          <w:szCs w:val="32"/>
        </w:rPr>
        <w:lastRenderedPageBreak/>
        <w:t>行。</w:t>
      </w:r>
    </w:p>
    <w:p w:rsidR="00BF1142" w:rsidRPr="00E94D04" w:rsidRDefault="00BF1142" w:rsidP="00BF1142">
      <w:pPr>
        <w:rPr>
          <w:rFonts w:ascii="仿宋_GB2312" w:hAnsi="仿宋"/>
          <w:szCs w:val="32"/>
        </w:rPr>
      </w:pPr>
      <w:r>
        <w:rPr>
          <w:rFonts w:ascii="黑体" w:eastAsia="黑体" w:hAnsi="黑体" w:hint="eastAsia"/>
          <w:szCs w:val="32"/>
        </w:rPr>
        <w:t xml:space="preserve">    </w:t>
      </w:r>
      <w:r w:rsidRPr="00073145">
        <w:rPr>
          <w:rFonts w:ascii="黑体" w:eastAsia="黑体" w:hAnsi="黑体" w:hint="eastAsia"/>
          <w:szCs w:val="32"/>
        </w:rPr>
        <w:t>第十四条</w:t>
      </w:r>
      <w:r w:rsidRPr="00073145">
        <w:rPr>
          <w:rFonts w:ascii="仿宋" w:eastAsia="仿宋" w:hAnsi="仿宋" w:hint="eastAsia"/>
          <w:szCs w:val="32"/>
        </w:rPr>
        <w:t xml:space="preserve"> </w:t>
      </w:r>
      <w:r w:rsidRPr="00E94D04">
        <w:rPr>
          <w:rFonts w:ascii="仿宋_GB2312" w:hAnsi="仿宋" w:hint="eastAsia"/>
          <w:szCs w:val="32"/>
        </w:rPr>
        <w:t>中央高校使用配比资金形成的资产属于国有资产，应当按照国有资产管理的有关规定加强管理，提高资产使用效率。</w:t>
      </w:r>
    </w:p>
    <w:p w:rsidR="00BF1142" w:rsidRPr="00E94D04" w:rsidRDefault="00BF1142" w:rsidP="00BF1142">
      <w:pPr>
        <w:ind w:firstLineChars="200" w:firstLine="632"/>
        <w:rPr>
          <w:rFonts w:ascii="仿宋_GB2312" w:hAnsi="仿宋"/>
          <w:szCs w:val="32"/>
        </w:rPr>
      </w:pPr>
      <w:r w:rsidRPr="00073145">
        <w:rPr>
          <w:rFonts w:ascii="黑体" w:eastAsia="黑体" w:hAnsi="黑体" w:hint="eastAsia"/>
          <w:szCs w:val="32"/>
        </w:rPr>
        <w:t xml:space="preserve">第十五条 </w:t>
      </w:r>
      <w:r w:rsidRPr="00E94D04">
        <w:rPr>
          <w:rFonts w:ascii="仿宋_GB2312" w:hAnsi="仿宋" w:hint="eastAsia"/>
          <w:szCs w:val="32"/>
        </w:rPr>
        <w:t>中央高校应当将配比资金收支情况纳入单位年度决算，统一编报；按照预算管理的有关要求，加快配比资金预算执行进度。年度结转结余资金按照国家有关规定执行。</w:t>
      </w:r>
    </w:p>
    <w:p w:rsidR="00BF1142" w:rsidRPr="00073145" w:rsidRDefault="00BF1142" w:rsidP="00BF1142">
      <w:pPr>
        <w:jc w:val="center"/>
        <w:rPr>
          <w:rFonts w:ascii="黑体" w:eastAsia="黑体" w:hAnsi="黑体"/>
          <w:szCs w:val="32"/>
        </w:rPr>
      </w:pPr>
      <w:r w:rsidRPr="00073145">
        <w:rPr>
          <w:rFonts w:ascii="黑体" w:eastAsia="黑体" w:hAnsi="黑体" w:hint="eastAsia"/>
          <w:szCs w:val="32"/>
        </w:rPr>
        <w:t xml:space="preserve">第五章 </w:t>
      </w:r>
      <w:r w:rsidRPr="00073145">
        <w:rPr>
          <w:rFonts w:ascii="黑体" w:eastAsia="黑体" w:hAnsi="黑体" w:hint="eastAsia"/>
          <w:szCs w:val="32"/>
        </w:rPr>
        <w:tab/>
        <w:t>绩效</w:t>
      </w:r>
      <w:r>
        <w:rPr>
          <w:rFonts w:ascii="黑体" w:eastAsia="黑体" w:hAnsi="黑体" w:hint="eastAsia"/>
          <w:szCs w:val="32"/>
        </w:rPr>
        <w:t>管理</w:t>
      </w:r>
      <w:r w:rsidRPr="00073145">
        <w:rPr>
          <w:rFonts w:ascii="黑体" w:eastAsia="黑体" w:hAnsi="黑体" w:hint="eastAsia"/>
          <w:szCs w:val="32"/>
        </w:rPr>
        <w:t>与监督检查</w:t>
      </w:r>
    </w:p>
    <w:p w:rsidR="00BF1142" w:rsidRPr="00E94D04" w:rsidRDefault="00BF1142" w:rsidP="00BF1142">
      <w:pPr>
        <w:ind w:firstLine="645"/>
        <w:rPr>
          <w:rFonts w:ascii="仿宋_GB2312" w:hAnsi="仿宋"/>
          <w:szCs w:val="32"/>
        </w:rPr>
      </w:pPr>
      <w:r w:rsidRPr="00073145">
        <w:rPr>
          <w:rFonts w:ascii="黑体" w:eastAsia="黑体" w:hAnsi="黑体" w:hint="eastAsia"/>
          <w:szCs w:val="32"/>
        </w:rPr>
        <w:t xml:space="preserve">第十六条 </w:t>
      </w:r>
      <w:r w:rsidRPr="00E94D04">
        <w:rPr>
          <w:rFonts w:ascii="仿宋_GB2312" w:hAnsi="仿宋" w:hint="eastAsia"/>
          <w:szCs w:val="32"/>
        </w:rPr>
        <w:t>中央高校应当按照全面实施预算绩效管理要求，对配比资金实施全过程绩效管理，科学合理设定绩效目标，对照绩效目标做好绩效执行监控、绩效自评，强化绩效结果应用，并定期总结配比资金管理使用情况和成效，报主管部门。加强对配比资金使用的监督管理，自觉接受审计、监察、财政及主管部门的监督检查。</w:t>
      </w:r>
    </w:p>
    <w:p w:rsidR="00BF1142" w:rsidRPr="00E94D04" w:rsidRDefault="00BF1142" w:rsidP="00BF1142">
      <w:pPr>
        <w:ind w:firstLineChars="200" w:firstLine="632"/>
        <w:rPr>
          <w:rFonts w:ascii="仿宋_GB2312" w:hAnsi="仿宋"/>
          <w:szCs w:val="32"/>
        </w:rPr>
      </w:pPr>
      <w:r w:rsidRPr="00073145">
        <w:rPr>
          <w:rFonts w:ascii="黑体" w:eastAsia="黑体" w:hAnsi="黑体" w:hint="eastAsia"/>
          <w:szCs w:val="32"/>
        </w:rPr>
        <w:t xml:space="preserve">第十七条 </w:t>
      </w:r>
      <w:r w:rsidRPr="00E94D04">
        <w:rPr>
          <w:rFonts w:ascii="仿宋_GB2312" w:hAnsi="仿宋" w:hint="eastAsia"/>
          <w:szCs w:val="32"/>
        </w:rPr>
        <w:t>主管部门对所属高校配比资金使用管理负有监管责任，应当加强对所属高校配比资金使用管理的监督检查，确保所属高校配比资金使用管理的规范、安全和高效。</w:t>
      </w:r>
    </w:p>
    <w:p w:rsidR="00BF1142" w:rsidRPr="00073145" w:rsidRDefault="00BF1142" w:rsidP="00BF1142">
      <w:pPr>
        <w:ind w:firstLine="645"/>
        <w:rPr>
          <w:rFonts w:ascii="仿宋" w:eastAsia="仿宋" w:hAnsi="仿宋"/>
          <w:szCs w:val="32"/>
        </w:rPr>
      </w:pPr>
      <w:r w:rsidRPr="00073145">
        <w:rPr>
          <w:rFonts w:ascii="黑体" w:eastAsia="黑体" w:hAnsi="黑体" w:hint="eastAsia"/>
          <w:szCs w:val="32"/>
        </w:rPr>
        <w:t xml:space="preserve">第十八条 </w:t>
      </w:r>
      <w:r w:rsidRPr="00E94D04">
        <w:rPr>
          <w:rFonts w:ascii="仿宋_GB2312" w:hAnsi="仿宋" w:hint="eastAsia"/>
          <w:szCs w:val="32"/>
        </w:rPr>
        <w:t>财政部、教育部对配比资金的预算执行、使用管理等情况进行监督检查，并组织有关部门或委托中介机构加强对配比资金使用管理的绩效评价。监督检查情况和绩效考评结果，作为资金分配的重要因素。对预算执行缓慢或与绩效目标存在较大偏差的中央高校，相应采取减少或暂停安排配比资金等措施。</w:t>
      </w:r>
    </w:p>
    <w:p w:rsidR="00BF1142" w:rsidRPr="00E94D04" w:rsidRDefault="00BF1142" w:rsidP="00BF1142">
      <w:pPr>
        <w:ind w:firstLineChars="200" w:firstLine="632"/>
        <w:rPr>
          <w:rFonts w:ascii="仿宋_GB2312" w:hAnsi="仿宋" w:hint="eastAsia"/>
          <w:szCs w:val="32"/>
        </w:rPr>
      </w:pPr>
      <w:r w:rsidRPr="00073145">
        <w:rPr>
          <w:rFonts w:ascii="黑体" w:eastAsia="黑体" w:hAnsi="黑体" w:hint="eastAsia"/>
          <w:szCs w:val="32"/>
        </w:rPr>
        <w:t xml:space="preserve">第十九条 </w:t>
      </w:r>
      <w:r w:rsidRPr="00E94D04">
        <w:rPr>
          <w:rFonts w:ascii="仿宋_GB2312" w:hAnsi="仿宋" w:hint="eastAsia"/>
          <w:szCs w:val="32"/>
        </w:rPr>
        <w:t>财政部、教育部委托教育部经费监管事务中心对中</w:t>
      </w:r>
      <w:r w:rsidRPr="00E94D04">
        <w:rPr>
          <w:rFonts w:ascii="仿宋_GB2312" w:hAnsi="仿宋" w:hint="eastAsia"/>
          <w:szCs w:val="32"/>
        </w:rPr>
        <w:lastRenderedPageBreak/>
        <w:t>央高校已获得配比资金的捐赠收入管理使用情况进行核查，并将核查结果反馈中央高校。中央高校对核查结果有异议的，可在收到核查结果</w:t>
      </w:r>
      <w:r>
        <w:rPr>
          <w:rFonts w:ascii="仿宋_GB2312" w:hAnsi="仿宋" w:hint="eastAsia"/>
          <w:szCs w:val="32"/>
        </w:rPr>
        <w:t>后规定时间</w:t>
      </w:r>
      <w:r w:rsidRPr="00E94D04">
        <w:rPr>
          <w:rFonts w:ascii="仿宋_GB2312" w:hAnsi="仿宋" w:hint="eastAsia"/>
          <w:szCs w:val="32"/>
        </w:rPr>
        <w:t>内提出申诉，教育部经费监管事务中心组织复查。中央高校应当在收到核查或复查结果</w:t>
      </w:r>
      <w:r>
        <w:rPr>
          <w:rFonts w:ascii="仿宋_GB2312" w:hAnsi="仿宋" w:hint="eastAsia"/>
          <w:szCs w:val="32"/>
        </w:rPr>
        <w:t>后规定时间</w:t>
      </w:r>
      <w:r w:rsidRPr="00E94D04">
        <w:rPr>
          <w:rFonts w:ascii="仿宋_GB2312" w:hAnsi="仿宋" w:hint="eastAsia"/>
          <w:szCs w:val="32"/>
        </w:rPr>
        <w:t>内，对核查或复查结果予以确认。</w:t>
      </w:r>
    </w:p>
    <w:p w:rsidR="00BF1142" w:rsidRPr="00E94D04" w:rsidRDefault="00BF1142" w:rsidP="00BF1142">
      <w:pPr>
        <w:ind w:firstLineChars="200" w:firstLine="632"/>
        <w:rPr>
          <w:rFonts w:ascii="仿宋_GB2312" w:hAnsi="仿宋"/>
          <w:szCs w:val="32"/>
        </w:rPr>
      </w:pPr>
      <w:r w:rsidRPr="00CB64CA">
        <w:rPr>
          <w:rFonts w:ascii="黑体" w:eastAsia="黑体" w:hAnsi="黑体" w:hint="eastAsia"/>
          <w:szCs w:val="32"/>
        </w:rPr>
        <w:t>第二十条</w:t>
      </w:r>
      <w:r>
        <w:rPr>
          <w:rFonts w:ascii="仿宋" w:eastAsia="仿宋" w:hAnsi="仿宋" w:hint="eastAsia"/>
          <w:szCs w:val="32"/>
        </w:rPr>
        <w:t xml:space="preserve"> </w:t>
      </w:r>
      <w:r w:rsidRPr="00E94D04">
        <w:rPr>
          <w:rFonts w:ascii="仿宋_GB2312" w:hAnsi="仿宋" w:hint="eastAsia"/>
          <w:szCs w:val="32"/>
        </w:rPr>
        <w:t>对于核查中发现的不合格捐赠收入，所涉及配比金额从下一年的配比资金预算中予以全额扣减，不足扣减的，依次扣减中央高校管理改革等绩效拨款、基本支出财政拨款。核查中发现的不合格捐赠收入在</w:t>
      </w:r>
      <w:r w:rsidRPr="0042773E">
        <w:rPr>
          <w:rFonts w:ascii="仿宋_GB2312" w:hAnsi="仿宋" w:hint="eastAsia"/>
          <w:szCs w:val="32"/>
        </w:rPr>
        <w:t>500</w:t>
      </w:r>
      <w:r w:rsidRPr="00E94D04">
        <w:rPr>
          <w:rFonts w:ascii="仿宋_GB2312" w:hAnsi="仿宋" w:hint="eastAsia"/>
          <w:szCs w:val="32"/>
        </w:rPr>
        <w:t>万元以下的，除全额扣减外，在中央高校范围内予以通报；</w:t>
      </w:r>
      <w:r w:rsidRPr="0042773E">
        <w:rPr>
          <w:rFonts w:ascii="仿宋_GB2312" w:hAnsi="仿宋" w:hint="eastAsia"/>
          <w:szCs w:val="32"/>
        </w:rPr>
        <w:t>500</w:t>
      </w:r>
      <w:r w:rsidRPr="00E94D04">
        <w:rPr>
          <w:rFonts w:ascii="仿宋_GB2312" w:hAnsi="仿宋" w:hint="eastAsia"/>
          <w:szCs w:val="32"/>
        </w:rPr>
        <w:t>万元（含）-</w:t>
      </w:r>
      <w:r w:rsidRPr="0042773E">
        <w:rPr>
          <w:rFonts w:ascii="仿宋_GB2312" w:hAnsi="仿宋" w:hint="eastAsia"/>
          <w:szCs w:val="32"/>
        </w:rPr>
        <w:t>2000</w:t>
      </w:r>
      <w:r w:rsidRPr="00E94D04">
        <w:rPr>
          <w:rFonts w:ascii="仿宋_GB2312" w:hAnsi="仿宋" w:hint="eastAsia"/>
          <w:szCs w:val="32"/>
        </w:rPr>
        <w:t>万元的，除全额扣减外，停止该校捐赠配比申报资格一年；</w:t>
      </w:r>
      <w:r w:rsidRPr="0042773E">
        <w:rPr>
          <w:rFonts w:ascii="仿宋_GB2312" w:hAnsi="仿宋" w:hint="eastAsia"/>
          <w:szCs w:val="32"/>
        </w:rPr>
        <w:t>2000</w:t>
      </w:r>
      <w:r w:rsidRPr="00E94D04">
        <w:rPr>
          <w:rFonts w:ascii="仿宋_GB2312" w:hAnsi="仿宋" w:hint="eastAsia"/>
          <w:szCs w:val="32"/>
        </w:rPr>
        <w:t>万元（含）以上的，除全额扣减外，停止该校捐赠配比申报资格两年。如发现中央高校在项目申报、资金管理中存在违法违规行为，将按照《中华人民共和国预算法》、《财政违法行为处罚处分条例》等有关规定严肃处理。</w:t>
      </w:r>
    </w:p>
    <w:p w:rsidR="00BF1142" w:rsidRPr="00E94D04" w:rsidRDefault="00BF1142" w:rsidP="00BF1142">
      <w:pPr>
        <w:ind w:firstLine="660"/>
        <w:rPr>
          <w:rFonts w:ascii="仿宋_GB2312" w:hAnsi="仿宋"/>
          <w:szCs w:val="32"/>
        </w:rPr>
      </w:pPr>
      <w:r w:rsidRPr="00073145">
        <w:rPr>
          <w:rFonts w:ascii="黑体" w:eastAsia="黑体" w:hAnsi="黑体" w:hint="eastAsia"/>
          <w:szCs w:val="32"/>
        </w:rPr>
        <w:t>第二十一条</w:t>
      </w:r>
      <w:r>
        <w:rPr>
          <w:rFonts w:ascii="黑体" w:eastAsia="黑体" w:hAnsi="黑体" w:hint="eastAsia"/>
          <w:szCs w:val="32"/>
        </w:rPr>
        <w:t xml:space="preserve"> </w:t>
      </w:r>
      <w:r w:rsidRPr="00E94D04">
        <w:rPr>
          <w:rFonts w:ascii="仿宋_GB2312" w:hAnsi="仿宋" w:hint="eastAsia"/>
          <w:szCs w:val="32"/>
        </w:rPr>
        <w:t>财政部、教育部等主管部门及其工作人员在配比资金核定和检查工作中，存在违反规定分配资金以及其他滥用职权、玩忽职守、徇私舞弊等违法违纪行为的，按照《中华人民</w:t>
      </w:r>
      <w:r>
        <w:rPr>
          <w:rFonts w:ascii="仿宋_GB2312" w:hAnsi="仿宋" w:hint="eastAsia"/>
          <w:szCs w:val="32"/>
        </w:rPr>
        <w:t>共和国预算法》、《中华人民共和国公务员法》、《中华人民共和国</w:t>
      </w:r>
      <w:r w:rsidRPr="00E94D04">
        <w:rPr>
          <w:rFonts w:ascii="仿宋_GB2312" w:hAnsi="仿宋" w:hint="eastAsia"/>
          <w:szCs w:val="32"/>
        </w:rPr>
        <w:t>监察法》、《财政违法行为处罚处分条例》等国家有关规定追究相应责任；涉嫌犯罪的，移送司法机关处理。</w:t>
      </w:r>
    </w:p>
    <w:p w:rsidR="00BF1142" w:rsidRPr="00073145" w:rsidRDefault="00BF1142" w:rsidP="00BF1142">
      <w:pPr>
        <w:jc w:val="center"/>
        <w:rPr>
          <w:rFonts w:ascii="黑体" w:eastAsia="黑体" w:hAnsi="黑体"/>
          <w:szCs w:val="32"/>
        </w:rPr>
      </w:pPr>
      <w:r w:rsidRPr="00073145">
        <w:rPr>
          <w:rFonts w:ascii="黑体" w:eastAsia="黑体" w:hAnsi="黑体" w:hint="eastAsia"/>
          <w:szCs w:val="32"/>
        </w:rPr>
        <w:t xml:space="preserve">第六章 </w:t>
      </w:r>
      <w:r w:rsidRPr="00073145">
        <w:rPr>
          <w:rFonts w:ascii="黑体" w:eastAsia="黑体" w:hAnsi="黑体" w:hint="eastAsia"/>
          <w:szCs w:val="32"/>
        </w:rPr>
        <w:tab/>
        <w:t>附则</w:t>
      </w:r>
    </w:p>
    <w:p w:rsidR="00BF1142" w:rsidRPr="00E94D04" w:rsidRDefault="00BF1142" w:rsidP="00BF1142">
      <w:pPr>
        <w:ind w:firstLine="648"/>
        <w:rPr>
          <w:rFonts w:ascii="仿宋_GB2312" w:hAnsi="仿宋"/>
          <w:szCs w:val="32"/>
        </w:rPr>
      </w:pPr>
      <w:r w:rsidRPr="00073145">
        <w:rPr>
          <w:rFonts w:ascii="黑体" w:eastAsia="黑体" w:hAnsi="黑体" w:hint="eastAsia"/>
          <w:szCs w:val="32"/>
        </w:rPr>
        <w:lastRenderedPageBreak/>
        <w:t>第二十二条</w:t>
      </w:r>
      <w:r w:rsidRPr="00073145">
        <w:rPr>
          <w:rFonts w:ascii="仿宋" w:eastAsia="仿宋" w:hAnsi="仿宋" w:hint="eastAsia"/>
          <w:szCs w:val="32"/>
        </w:rPr>
        <w:t xml:space="preserve"> </w:t>
      </w:r>
      <w:r w:rsidRPr="00E94D04">
        <w:rPr>
          <w:rFonts w:ascii="仿宋_GB2312" w:hAnsi="仿宋" w:hint="eastAsia"/>
          <w:szCs w:val="32"/>
        </w:rPr>
        <w:t>本办法由财政部、教育部负责解释。</w:t>
      </w:r>
    </w:p>
    <w:p w:rsidR="00BF1142" w:rsidRPr="00073145" w:rsidRDefault="00BF1142" w:rsidP="00BF1142">
      <w:pPr>
        <w:ind w:firstLine="648"/>
        <w:rPr>
          <w:rFonts w:ascii="仿宋" w:eastAsia="仿宋" w:hAnsi="仿宋"/>
          <w:szCs w:val="32"/>
        </w:rPr>
      </w:pPr>
      <w:r w:rsidRPr="00073145">
        <w:rPr>
          <w:rFonts w:ascii="黑体" w:eastAsia="黑体" w:hAnsi="黑体" w:hint="eastAsia"/>
          <w:szCs w:val="32"/>
        </w:rPr>
        <w:t>第二十三条</w:t>
      </w:r>
      <w:r>
        <w:rPr>
          <w:rFonts w:ascii="黑体" w:eastAsia="黑体" w:hAnsi="黑体" w:hint="eastAsia"/>
          <w:szCs w:val="32"/>
        </w:rPr>
        <w:t xml:space="preserve"> </w:t>
      </w:r>
      <w:r w:rsidRPr="00E94D04">
        <w:rPr>
          <w:rFonts w:ascii="仿宋_GB2312" w:hAnsi="仿宋" w:hint="eastAsia"/>
          <w:szCs w:val="32"/>
        </w:rPr>
        <w:t>地方可参照本办法设立地方高校捐赠收入财政配比资金。</w:t>
      </w:r>
    </w:p>
    <w:p w:rsidR="00BF1142" w:rsidRPr="0042773E" w:rsidRDefault="00BF1142" w:rsidP="00BF1142">
      <w:pPr>
        <w:rPr>
          <w:rFonts w:ascii="仿宋_GB2312" w:hAnsi="仿宋"/>
          <w:szCs w:val="32"/>
        </w:rPr>
      </w:pPr>
      <w:r>
        <w:rPr>
          <w:rFonts w:ascii="黑体" w:eastAsia="黑体" w:hAnsi="黑体" w:hint="eastAsia"/>
          <w:szCs w:val="32"/>
        </w:rPr>
        <w:t xml:space="preserve">    </w:t>
      </w:r>
      <w:r w:rsidRPr="00073145">
        <w:rPr>
          <w:rFonts w:ascii="黑体" w:eastAsia="黑体" w:hAnsi="黑体" w:hint="eastAsia"/>
          <w:szCs w:val="32"/>
        </w:rPr>
        <w:t>第二十四条</w:t>
      </w:r>
      <w:r w:rsidRPr="00E94D04">
        <w:rPr>
          <w:rFonts w:ascii="仿宋_GB2312" w:hAnsi="仿宋" w:hint="eastAsia"/>
          <w:szCs w:val="32"/>
        </w:rPr>
        <w:t xml:space="preserve"> 本办法自</w:t>
      </w:r>
      <w:r w:rsidRPr="0042773E">
        <w:rPr>
          <w:rFonts w:ascii="仿宋_GB2312" w:hAnsi="仿宋" w:hint="eastAsia"/>
          <w:szCs w:val="32"/>
        </w:rPr>
        <w:t>201</w:t>
      </w:r>
      <w:r w:rsidRPr="0042773E">
        <w:rPr>
          <w:rFonts w:ascii="仿宋_GB2312" w:hAnsi="仿宋"/>
          <w:szCs w:val="32"/>
        </w:rPr>
        <w:t>8</w:t>
      </w:r>
      <w:r w:rsidRPr="00E94D04">
        <w:rPr>
          <w:rFonts w:ascii="仿宋_GB2312" w:hAnsi="仿宋" w:hint="eastAsia"/>
          <w:szCs w:val="32"/>
        </w:rPr>
        <w:t>年</w:t>
      </w:r>
      <w:r>
        <w:rPr>
          <w:rFonts w:ascii="仿宋_GB2312" w:hAnsi="仿宋" w:hint="eastAsia"/>
          <w:szCs w:val="32"/>
        </w:rPr>
        <w:t>12</w:t>
      </w:r>
      <w:r w:rsidRPr="00E94D04">
        <w:rPr>
          <w:rFonts w:ascii="仿宋_GB2312" w:hAnsi="仿宋" w:hint="eastAsia"/>
          <w:szCs w:val="32"/>
        </w:rPr>
        <w:t>月</w:t>
      </w:r>
      <w:r>
        <w:rPr>
          <w:rFonts w:ascii="仿宋_GB2312" w:hAnsi="仿宋" w:hint="eastAsia"/>
          <w:szCs w:val="32"/>
        </w:rPr>
        <w:t>1</w:t>
      </w:r>
      <w:r w:rsidRPr="00E94D04">
        <w:rPr>
          <w:rFonts w:ascii="仿宋_GB2312" w:hAnsi="仿宋" w:hint="eastAsia"/>
          <w:szCs w:val="32"/>
        </w:rPr>
        <w:t>日起施行。《中央级普通高校捐赠收入财政配比资金管理暂行办法》（</w:t>
      </w:r>
      <w:proofErr w:type="gramStart"/>
      <w:r w:rsidRPr="00E94D04">
        <w:rPr>
          <w:rFonts w:ascii="仿宋_GB2312" w:hAnsi="仿宋" w:hint="eastAsia"/>
          <w:szCs w:val="32"/>
        </w:rPr>
        <w:t>财教</w:t>
      </w:r>
      <w:r w:rsidRPr="0042773E">
        <w:rPr>
          <w:rFonts w:ascii="仿宋_GB2312" w:hAnsi="仿宋" w:hint="eastAsia"/>
          <w:szCs w:val="32"/>
        </w:rPr>
        <w:t>〔2009〕</w:t>
      </w:r>
      <w:proofErr w:type="gramEnd"/>
      <w:r w:rsidRPr="0042773E">
        <w:rPr>
          <w:rFonts w:ascii="仿宋_GB2312" w:hAnsi="仿宋" w:hint="eastAsia"/>
          <w:szCs w:val="32"/>
        </w:rPr>
        <w:t>275</w:t>
      </w:r>
      <w:r w:rsidRPr="00E94D04">
        <w:rPr>
          <w:rFonts w:ascii="仿宋_GB2312" w:hAnsi="仿宋" w:hint="eastAsia"/>
          <w:szCs w:val="32"/>
        </w:rPr>
        <w:t>号）同时废止。</w:t>
      </w:r>
    </w:p>
    <w:p w:rsidR="00BF1142" w:rsidRPr="00E83250" w:rsidRDefault="00BF1142" w:rsidP="00BF1142">
      <w:pPr>
        <w:ind w:leftChars="750" w:left="2686" w:hangingChars="100" w:hanging="316"/>
      </w:pPr>
    </w:p>
    <w:p w:rsidR="00BF1142" w:rsidRPr="00842CB8" w:rsidRDefault="00BF1142" w:rsidP="00BF1142">
      <w:pPr>
        <w:ind w:right="283" w:firstLine="300"/>
        <w:jc w:val="left"/>
        <w:rPr>
          <w:sz w:val="28"/>
          <w:szCs w:val="28"/>
        </w:rPr>
      </w:pPr>
      <w:r w:rsidRPr="00842CB8">
        <w:rPr>
          <w:rFonts w:hint="eastAsia"/>
          <w:sz w:val="28"/>
          <w:szCs w:val="28"/>
        </w:rPr>
        <w:t xml:space="preserve"> </w:t>
      </w:r>
    </w:p>
    <w:p w:rsidR="00E10574" w:rsidRPr="00BF1142" w:rsidRDefault="00E10574">
      <w:bookmarkStart w:id="3" w:name="_GoBack"/>
      <w:bookmarkEnd w:id="3"/>
    </w:p>
    <w:sectPr w:rsidR="00E10574" w:rsidRPr="00BF1142">
      <w:footerReference w:type="even" r:id="rId7"/>
      <w:footerReference w:type="default" r:id="rId8"/>
      <w:pgSz w:w="11906" w:h="16838"/>
      <w:pgMar w:top="1644" w:right="1480" w:bottom="1984" w:left="1480" w:header="851" w:footer="90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B0" w:rsidRDefault="000F34B0" w:rsidP="00BF1142">
      <w:pPr>
        <w:spacing w:line="240" w:lineRule="auto"/>
      </w:pPr>
      <w:r>
        <w:separator/>
      </w:r>
    </w:p>
  </w:endnote>
  <w:endnote w:type="continuationSeparator" w:id="0">
    <w:p w:rsidR="000F34B0" w:rsidRDefault="000F34B0" w:rsidP="00BF1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BA" w:rsidRDefault="000F34B0">
    <w:pPr>
      <w:pStyle w:val="a4"/>
      <w:framePr w:w="1596" w:wrap="around" w:vAnchor="text" w:hAnchor="page" w:x="1823" w:y="-310"/>
      <w:jc w:val="both"/>
      <w:rPr>
        <w:rStyle w:val="a5"/>
        <w:sz w:val="28"/>
      </w:rPr>
    </w:pPr>
    <w:r>
      <w:rPr>
        <w:rStyle w:val="a5"/>
        <w:rFonts w:ascii="仿宋_GB2312" w:hint="eastAsia"/>
        <w:sz w:val="28"/>
      </w:rPr>
      <w:t>—</w:t>
    </w:r>
    <w:r>
      <w:rPr>
        <w:rStyle w:val="a5"/>
        <w:rFonts w:ascii="仿宋_GB2312" w:hint="eastAsia"/>
        <w:sz w:val="28"/>
      </w:rPr>
      <w:t xml:space="preserve"> </w:t>
    </w:r>
    <w:r>
      <w:rPr>
        <w:sz w:val="28"/>
      </w:rPr>
      <w:fldChar w:fldCharType="begin"/>
    </w:r>
    <w:r>
      <w:rPr>
        <w:rStyle w:val="a5"/>
        <w:sz w:val="28"/>
      </w:rPr>
      <w:instrText xml:space="preserve">PAGE  </w:instrText>
    </w:r>
    <w:r>
      <w:rPr>
        <w:sz w:val="28"/>
      </w:rPr>
      <w:fldChar w:fldCharType="separate"/>
    </w:r>
    <w:r>
      <w:rPr>
        <w:rStyle w:val="a5"/>
        <w:sz w:val="28"/>
      </w:rPr>
      <w:t>2</w:t>
    </w:r>
    <w:r>
      <w:rPr>
        <w:sz w:val="28"/>
      </w:rPr>
      <w:fldChar w:fldCharType="end"/>
    </w:r>
    <w:r>
      <w:rPr>
        <w:rStyle w:val="a5"/>
        <w:rFonts w:hint="eastAsia"/>
        <w:sz w:val="28"/>
      </w:rPr>
      <w:t xml:space="preserve"> </w:t>
    </w:r>
    <w:r>
      <w:rPr>
        <w:rStyle w:val="a5"/>
        <w:rFonts w:ascii="仿宋_GB2312" w:hint="eastAsia"/>
        <w:sz w:val="28"/>
      </w:rPr>
      <w:t>—</w:t>
    </w:r>
  </w:p>
  <w:p w:rsidR="00391BBA" w:rsidRDefault="000F34B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BA" w:rsidRDefault="000F34B0">
    <w:pPr>
      <w:pStyle w:val="a4"/>
      <w:framePr w:w="2055" w:wrap="around" w:vAnchor="text" w:hAnchor="page" w:x="8321" w:y="-310"/>
      <w:spacing w:line="0" w:lineRule="atLeast"/>
      <w:ind w:right="345"/>
      <w:jc w:val="right"/>
      <w:rPr>
        <w:rStyle w:val="a5"/>
        <w:sz w:val="28"/>
      </w:rPr>
    </w:pPr>
    <w:r>
      <w:rPr>
        <w:rStyle w:val="a5"/>
        <w:rFonts w:ascii="仿宋_GB2312" w:hint="eastAsia"/>
        <w:sz w:val="28"/>
      </w:rPr>
      <w:t>—</w:t>
    </w:r>
    <w:r>
      <w:rPr>
        <w:rStyle w:val="a5"/>
        <w:rFonts w:ascii="仿宋_GB2312" w:hint="eastAsia"/>
        <w:sz w:val="28"/>
      </w:rPr>
      <w:t xml:space="preserve"> </w:t>
    </w:r>
    <w:r>
      <w:rPr>
        <w:sz w:val="28"/>
      </w:rPr>
      <w:fldChar w:fldCharType="begin"/>
    </w:r>
    <w:r>
      <w:rPr>
        <w:rStyle w:val="a5"/>
        <w:sz w:val="28"/>
      </w:rPr>
      <w:instrText xml:space="preserve">PAGE  </w:instrText>
    </w:r>
    <w:r>
      <w:rPr>
        <w:sz w:val="28"/>
      </w:rPr>
      <w:fldChar w:fldCharType="separate"/>
    </w:r>
    <w:r w:rsidR="00BF1142">
      <w:rPr>
        <w:rStyle w:val="a5"/>
        <w:noProof/>
        <w:sz w:val="28"/>
      </w:rPr>
      <w:t>1</w:t>
    </w:r>
    <w:r>
      <w:rPr>
        <w:sz w:val="28"/>
      </w:rPr>
      <w:fldChar w:fldCharType="end"/>
    </w:r>
    <w:r>
      <w:rPr>
        <w:rStyle w:val="a5"/>
        <w:rFonts w:hint="eastAsia"/>
        <w:sz w:val="28"/>
      </w:rPr>
      <w:t xml:space="preserve"> </w:t>
    </w:r>
    <w:r>
      <w:rPr>
        <w:rStyle w:val="a5"/>
        <w:rFonts w:ascii="仿宋_GB2312" w:hint="eastAsia"/>
        <w:sz w:val="28"/>
      </w:rPr>
      <w:t>—</w:t>
    </w:r>
  </w:p>
  <w:p w:rsidR="00391BBA" w:rsidRDefault="000F34B0">
    <w:pPr>
      <w:pStyle w:val="a4"/>
      <w:tabs>
        <w:tab w:val="clear"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B0" w:rsidRDefault="000F34B0" w:rsidP="00BF1142">
      <w:pPr>
        <w:spacing w:line="240" w:lineRule="auto"/>
      </w:pPr>
      <w:r>
        <w:separator/>
      </w:r>
    </w:p>
  </w:footnote>
  <w:footnote w:type="continuationSeparator" w:id="0">
    <w:p w:rsidR="000F34B0" w:rsidRDefault="000F34B0" w:rsidP="00BF11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63"/>
    <w:rsid w:val="000F34B0"/>
    <w:rsid w:val="00BF1142"/>
    <w:rsid w:val="00CB2D63"/>
    <w:rsid w:val="00E1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42"/>
    <w:pPr>
      <w:widowControl w:val="0"/>
      <w:autoSpaceDE w:val="0"/>
      <w:autoSpaceDN w:val="0"/>
      <w:adjustRightInd w:val="0"/>
      <w:snapToGrid w:val="0"/>
      <w:spacing w:line="588" w:lineRule="atLeast"/>
      <w:jc w:val="both"/>
    </w:pPr>
    <w:rPr>
      <w:rFonts w:ascii="宋体" w:eastAsia="仿宋_GB2312" w:hAnsi="宋体"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142"/>
    <w:pPr>
      <w:pBdr>
        <w:bottom w:val="single" w:sz="6" w:space="1" w:color="auto"/>
      </w:pBdr>
      <w:tabs>
        <w:tab w:val="center" w:pos="4153"/>
        <w:tab w:val="right" w:pos="8306"/>
      </w:tabs>
      <w:autoSpaceDE/>
      <w:autoSpaceDN/>
      <w:adjustRightInd/>
      <w:spacing w:line="240" w:lineRule="auto"/>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BF1142"/>
    <w:rPr>
      <w:sz w:val="18"/>
      <w:szCs w:val="18"/>
    </w:rPr>
  </w:style>
  <w:style w:type="paragraph" w:styleId="a4">
    <w:name w:val="footer"/>
    <w:basedOn w:val="a"/>
    <w:link w:val="Char0"/>
    <w:unhideWhenUsed/>
    <w:qFormat/>
    <w:rsid w:val="00BF1142"/>
    <w:pPr>
      <w:tabs>
        <w:tab w:val="center" w:pos="4153"/>
        <w:tab w:val="right" w:pos="8306"/>
      </w:tabs>
      <w:autoSpaceDE/>
      <w:autoSpaceDN/>
      <w:adjustRightInd/>
      <w:spacing w:line="240" w:lineRule="auto"/>
      <w:jc w:val="left"/>
    </w:pPr>
    <w:rPr>
      <w:rFonts w:asciiTheme="minorHAnsi" w:eastAsiaTheme="minorEastAsia" w:hAnsiTheme="minorHAnsi" w:cstheme="minorBidi"/>
      <w:spacing w:val="0"/>
      <w:sz w:val="18"/>
      <w:szCs w:val="18"/>
    </w:rPr>
  </w:style>
  <w:style w:type="character" w:customStyle="1" w:styleId="Char0">
    <w:name w:val="页脚 Char"/>
    <w:basedOn w:val="a0"/>
    <w:link w:val="a4"/>
    <w:qFormat/>
    <w:rsid w:val="00BF1142"/>
    <w:rPr>
      <w:sz w:val="18"/>
      <w:szCs w:val="18"/>
    </w:rPr>
  </w:style>
  <w:style w:type="character" w:styleId="a5">
    <w:name w:val="page number"/>
    <w:basedOn w:val="a0"/>
    <w:qFormat/>
    <w:rsid w:val="00BF1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42"/>
    <w:pPr>
      <w:widowControl w:val="0"/>
      <w:autoSpaceDE w:val="0"/>
      <w:autoSpaceDN w:val="0"/>
      <w:adjustRightInd w:val="0"/>
      <w:snapToGrid w:val="0"/>
      <w:spacing w:line="588" w:lineRule="atLeast"/>
      <w:jc w:val="both"/>
    </w:pPr>
    <w:rPr>
      <w:rFonts w:ascii="宋体" w:eastAsia="仿宋_GB2312" w:hAnsi="宋体"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142"/>
    <w:pPr>
      <w:pBdr>
        <w:bottom w:val="single" w:sz="6" w:space="1" w:color="auto"/>
      </w:pBdr>
      <w:tabs>
        <w:tab w:val="center" w:pos="4153"/>
        <w:tab w:val="right" w:pos="8306"/>
      </w:tabs>
      <w:autoSpaceDE/>
      <w:autoSpaceDN/>
      <w:adjustRightInd/>
      <w:spacing w:line="240" w:lineRule="auto"/>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BF1142"/>
    <w:rPr>
      <w:sz w:val="18"/>
      <w:szCs w:val="18"/>
    </w:rPr>
  </w:style>
  <w:style w:type="paragraph" w:styleId="a4">
    <w:name w:val="footer"/>
    <w:basedOn w:val="a"/>
    <w:link w:val="Char0"/>
    <w:unhideWhenUsed/>
    <w:qFormat/>
    <w:rsid w:val="00BF1142"/>
    <w:pPr>
      <w:tabs>
        <w:tab w:val="center" w:pos="4153"/>
        <w:tab w:val="right" w:pos="8306"/>
      </w:tabs>
      <w:autoSpaceDE/>
      <w:autoSpaceDN/>
      <w:adjustRightInd/>
      <w:spacing w:line="240" w:lineRule="auto"/>
      <w:jc w:val="left"/>
    </w:pPr>
    <w:rPr>
      <w:rFonts w:asciiTheme="minorHAnsi" w:eastAsiaTheme="minorEastAsia" w:hAnsiTheme="minorHAnsi" w:cstheme="minorBidi"/>
      <w:spacing w:val="0"/>
      <w:sz w:val="18"/>
      <w:szCs w:val="18"/>
    </w:rPr>
  </w:style>
  <w:style w:type="character" w:customStyle="1" w:styleId="Char0">
    <w:name w:val="页脚 Char"/>
    <w:basedOn w:val="a0"/>
    <w:link w:val="a4"/>
    <w:qFormat/>
    <w:rsid w:val="00BF1142"/>
    <w:rPr>
      <w:sz w:val="18"/>
      <w:szCs w:val="18"/>
    </w:rPr>
  </w:style>
  <w:style w:type="character" w:styleId="a5">
    <w:name w:val="page number"/>
    <w:basedOn w:val="a0"/>
    <w:qFormat/>
    <w:rsid w:val="00BF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易磊</dc:creator>
  <cp:keywords/>
  <dc:description/>
  <cp:lastModifiedBy>易磊</cp:lastModifiedBy>
  <cp:revision>2</cp:revision>
  <dcterms:created xsi:type="dcterms:W3CDTF">2018-11-23T03:18:00Z</dcterms:created>
  <dcterms:modified xsi:type="dcterms:W3CDTF">2018-11-23T03:18:00Z</dcterms:modified>
</cp:coreProperties>
</file>